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方正黑体简体" w:cs="Times New Roman"/>
          <w:b/>
          <w:bCs/>
          <w:sz w:val="32"/>
          <w:szCs w:val="32"/>
        </w:rPr>
      </w:pPr>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lang w:val="en-US" w:eastAsia="zh-CN"/>
        </w:rPr>
        <w:t>1</w:t>
      </w:r>
    </w:p>
    <w:p>
      <w:pPr>
        <w:spacing w:line="520" w:lineRule="exact"/>
        <w:rPr>
          <w:rFonts w:eastAsia="方正黑体简体"/>
          <w:b/>
          <w:bCs/>
          <w:sz w:val="32"/>
          <w:szCs w:val="32"/>
        </w:rPr>
      </w:pPr>
    </w:p>
    <w:p>
      <w:pPr>
        <w:spacing w:line="520" w:lineRule="exact"/>
        <w:jc w:val="center"/>
        <w:rPr>
          <w:rFonts w:eastAsia="方正大标宋简体"/>
          <w:b/>
          <w:bCs/>
          <w:sz w:val="44"/>
          <w:szCs w:val="44"/>
        </w:rPr>
      </w:pPr>
      <w:r>
        <w:rPr>
          <w:rFonts w:eastAsia="方正大标宋简体"/>
          <w:b w:val="0"/>
          <w:bCs w:val="0"/>
          <w:sz w:val="44"/>
          <w:szCs w:val="44"/>
        </w:rPr>
        <w:t>哲学社会科学类参赛作品参考题</w:t>
      </w:r>
    </w:p>
    <w:p>
      <w:pPr>
        <w:spacing w:line="520" w:lineRule="exact"/>
        <w:jc w:val="center"/>
        <w:rPr>
          <w:rFonts w:eastAsia="方正大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为贯彻“挑战杯”竞赛的宗旨，帮助参赛学生将所学知识与经济社会发展紧密结合，更好地进行参赛作品选题制作，特请有关专家拟定了本参考题目。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总体要求：鼓励参赛学生认真学习党的十</w:t>
      </w:r>
      <w:r>
        <w:rPr>
          <w:rFonts w:hint="eastAsia" w:ascii="Century" w:hAnsi="Century" w:eastAsia="方正仿宋_GBK" w:cs="Century"/>
          <w:b w:val="0"/>
          <w:bCs/>
          <w:sz w:val="32"/>
          <w:szCs w:val="32"/>
          <w:lang w:val="en-US" w:eastAsia="zh-CN"/>
        </w:rPr>
        <w:t>九</w:t>
      </w:r>
      <w:r>
        <w:rPr>
          <w:rFonts w:hint="default" w:ascii="Century" w:hAnsi="Century" w:eastAsia="方正仿宋_GBK" w:cs="Century"/>
          <w:b w:val="0"/>
          <w:bCs/>
          <w:sz w:val="32"/>
          <w:szCs w:val="32"/>
        </w:rPr>
        <w:t>大和十</w:t>
      </w:r>
      <w:r>
        <w:rPr>
          <w:rFonts w:hint="eastAsia" w:ascii="Century" w:hAnsi="Century" w:eastAsia="方正仿宋_GBK" w:cs="Century"/>
          <w:b w:val="0"/>
          <w:bCs/>
          <w:sz w:val="32"/>
          <w:szCs w:val="32"/>
          <w:lang w:val="en-US" w:eastAsia="zh-CN"/>
        </w:rPr>
        <w:t>九</w:t>
      </w:r>
      <w:r>
        <w:rPr>
          <w:rFonts w:hint="default" w:ascii="Century" w:hAnsi="Century" w:eastAsia="方正仿宋_GBK" w:cs="Century"/>
          <w:b w:val="0"/>
          <w:bCs/>
          <w:sz w:val="32"/>
          <w:szCs w:val="32"/>
        </w:rPr>
        <w:t>届</w:t>
      </w:r>
      <w:r>
        <w:rPr>
          <w:rFonts w:hint="eastAsia" w:ascii="Century" w:hAnsi="Century" w:eastAsia="方正仿宋_GBK" w:cs="Century"/>
          <w:b w:val="0"/>
          <w:bCs/>
          <w:sz w:val="32"/>
          <w:szCs w:val="32"/>
          <w:lang w:val="en-US" w:eastAsia="zh-CN"/>
        </w:rPr>
        <w:t>二中、</w:t>
      </w:r>
      <w:r>
        <w:rPr>
          <w:rFonts w:hint="default" w:ascii="Century" w:hAnsi="Century" w:eastAsia="方正仿宋_GBK" w:cs="Century"/>
          <w:b w:val="0"/>
          <w:bCs/>
          <w:sz w:val="32"/>
          <w:szCs w:val="32"/>
        </w:rPr>
        <w:t>三中全会重要精神，</w:t>
      </w:r>
      <w:r>
        <w:rPr>
          <w:rFonts w:hint="eastAsia" w:ascii="Century" w:hAnsi="Century" w:eastAsia="方正仿宋_GBK" w:cs="Century"/>
          <w:b w:val="0"/>
          <w:bCs/>
          <w:sz w:val="32"/>
          <w:szCs w:val="32"/>
          <w:lang w:val="en-US" w:eastAsia="zh-CN"/>
        </w:rPr>
        <w:t>自觉运用马克思主义立场观点方法分析和解决实际问题，积极弘扬社会主义核心价值观，</w:t>
      </w:r>
      <w:r>
        <w:rPr>
          <w:rFonts w:hint="default" w:ascii="Century" w:hAnsi="Century" w:eastAsia="方正仿宋_GBK" w:cs="Century"/>
          <w:b w:val="0"/>
          <w:bCs/>
          <w:sz w:val="32"/>
          <w:szCs w:val="32"/>
        </w:rPr>
        <w:t>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方正仿宋简体" w:cs="Times New Roman"/>
          <w:b/>
          <w:bCs/>
          <w:sz w:val="32"/>
          <w:szCs w:val="32"/>
        </w:rPr>
      </w:pPr>
      <w:r>
        <w:rPr>
          <w:rFonts w:hint="default" w:ascii="Century" w:hAnsi="Century" w:eastAsia="方正仿宋_GBK" w:cs="Century"/>
          <w:b w:val="0"/>
          <w:bCs/>
          <w:sz w:val="32"/>
          <w:szCs w:val="32"/>
        </w:rPr>
        <w:t>本届组委会不接受没有列为竞赛学科的作品参赛。</w:t>
      </w:r>
    </w:p>
    <w:p>
      <w:pPr>
        <w:widowControl/>
        <w:shd w:val="clear" w:color="auto" w:fill="FFFFFF"/>
        <w:spacing w:line="520" w:lineRule="exact"/>
        <w:rPr>
          <w:rFonts w:ascii="Times New Roman" w:hAnsi="Times New Roman" w:eastAsia="方正仿宋简体" w:cs="Times New Roman"/>
          <w:bCs/>
          <w:kern w:val="0"/>
          <w:sz w:val="32"/>
          <w:szCs w:val="32"/>
        </w:rPr>
      </w:pPr>
    </w:p>
    <w:p>
      <w:pPr>
        <w:widowControl/>
        <w:shd w:val="clear" w:color="auto" w:fill="FFFFFF"/>
        <w:spacing w:line="520" w:lineRule="exact"/>
        <w:rPr>
          <w:rFonts w:ascii="Times New Roman" w:hAnsi="Times New Roman" w:eastAsia="方正仿宋简体" w:cs="Times New Roman"/>
          <w:bCs/>
          <w:kern w:val="0"/>
          <w:sz w:val="32"/>
          <w:szCs w:val="32"/>
        </w:rPr>
      </w:pPr>
    </w:p>
    <w:p>
      <w:pPr>
        <w:spacing w:line="520" w:lineRule="exact"/>
        <w:jc w:val="center"/>
        <w:rPr>
          <w:rFonts w:eastAsia="方正黑体简体"/>
          <w:b/>
          <w:bCs/>
          <w:sz w:val="32"/>
          <w:szCs w:val="32"/>
        </w:rPr>
      </w:pPr>
      <w:r>
        <w:rPr>
          <w:rFonts w:hint="eastAsia" w:ascii="方正黑体_GBK" w:hAnsi="方正黑体_GBK" w:eastAsia="方正黑体_GBK" w:cs="方正黑体_GBK"/>
          <w:b w:val="0"/>
          <w:bCs w:val="0"/>
          <w:sz w:val="32"/>
          <w:szCs w:val="32"/>
        </w:rPr>
        <w:t>哲学类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从改革开放40年经验看解放思想、实事求是与中国特色社会主义道路的开创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2.  用马克思主义中国化最新成果指导实践，推进改革开放的典型调查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3.  实现中华民族伟大复兴中国梦的实践和经验典型调查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4.  实践创新、理论创新、制度创新、文化创新推动经济社会发展的典型调查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5.  推进马克思主义中国化时代化大众化研究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6.  培育和践行社会主义核心价值观的实践和经验典型调查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7.  运用中华优秀传统文化推进社会主义核心价值观教育的实践与经验调查研究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8.  新的时代条件下促进人的全面发展调查研究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9.  坚定中国特色社会主义道路自信、理论自信、制度自信、文化自信典型调查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10. 构建中国特色哲学学科体系、学术体系、话语体系研究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11. 传承和弘扬中华优秀传统文化的典型调查和研究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12. 提高国家文化软实力，讲好中国股市的典型调查和研究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方正仿宋简体" w:cs="Times New Roman"/>
          <w:b/>
          <w:bCs/>
          <w:sz w:val="32"/>
          <w:szCs w:val="32"/>
        </w:rPr>
      </w:pPr>
      <w:r>
        <w:rPr>
          <w:rFonts w:hint="eastAsia" w:ascii="Century" w:hAnsi="Century" w:eastAsia="方正仿宋_GBK" w:cs="Century"/>
          <w:b w:val="0"/>
          <w:bCs/>
          <w:sz w:val="32"/>
          <w:szCs w:val="32"/>
          <w:lang w:val="en-US" w:eastAsia="zh-CN"/>
        </w:rPr>
        <w:t>13. 提高战略思维、历史思维、辩证思维、创新思维、底线思维能力，推进工作进展的典型调查研究</w:t>
      </w:r>
    </w:p>
    <w:p>
      <w:pPr>
        <w:spacing w:line="520" w:lineRule="exact"/>
        <w:jc w:val="center"/>
        <w:rPr>
          <w:rFonts w:hint="eastAsia" w:ascii="方正黑体_GBK" w:hAnsi="方正黑体_GBK" w:eastAsia="方正黑体_GBK" w:cs="方正黑体_GBK"/>
          <w:b w:val="0"/>
          <w:bCs w:val="0"/>
          <w:sz w:val="32"/>
          <w:szCs w:val="32"/>
        </w:rPr>
      </w:pPr>
    </w:p>
    <w:p>
      <w:pPr>
        <w:spacing w:line="52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经济类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农村“精准扶贫”典型与经验调查研究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全面建成小康社会丰富实践的典型调查研究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推进五大发展理念成功案例调查研究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推动供给侧结构性改革的典型调查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建设统一开放、竞争有序的现代市场体系的典型调查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6</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智慧城市建设多种模式的典型调查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7</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农村社会保障与公共事务治理典型与经验调查研究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8</w:t>
      </w:r>
      <w:r>
        <w:rPr>
          <w:rFonts w:hint="eastAsia" w:ascii="Century" w:hAnsi="Century" w:eastAsia="方正仿宋_GBK" w:cs="Century"/>
          <w:b w:val="0"/>
          <w:bCs/>
          <w:sz w:val="32"/>
          <w:szCs w:val="32"/>
          <w:lang w:val="en-US" w:eastAsia="zh-CN"/>
        </w:rPr>
        <w:t>.  农民工市民化和返乡创业的调查研究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扩大国内需求，刺激消费需求的实践和经验调查研究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10</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发挥区位优势、推动老少边贫地区发展的调查研究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互联网推动工业企业技术创新的调</w:t>
      </w:r>
      <w:r>
        <w:rPr>
          <w:rFonts w:hint="eastAsia" w:ascii="Century" w:hAnsi="Century" w:eastAsia="方正仿宋_GBK" w:cs="Century"/>
          <w:b w:val="0"/>
          <w:bCs/>
          <w:sz w:val="32"/>
          <w:szCs w:val="32"/>
        </w:rPr>
        <w:t>查</w:t>
      </w:r>
      <w:r>
        <w:rPr>
          <w:rFonts w:hint="default" w:ascii="Century" w:hAnsi="Century" w:eastAsia="方正仿宋_GBK" w:cs="Century"/>
          <w:b w:val="0"/>
          <w:bCs/>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互联网金融风险典型调查研究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13</w:t>
      </w:r>
      <w:r>
        <w:rPr>
          <w:rFonts w:hint="eastAsia" w:ascii="Century" w:hAnsi="Century" w:eastAsia="方正仿宋_GBK" w:cs="Century"/>
          <w:b w:val="0"/>
          <w:bCs/>
          <w:sz w:val="32"/>
          <w:szCs w:val="32"/>
          <w:lang w:val="en-US" w:eastAsia="zh-CN"/>
        </w:rPr>
        <w:t xml:space="preserve">. </w:t>
      </w:r>
      <w:r>
        <w:rPr>
          <w:rFonts w:hint="eastAsia" w:ascii="Century" w:hAnsi="Century" w:eastAsia="方正仿宋_GBK" w:cs="Century"/>
          <w:b w:val="0"/>
          <w:bCs/>
          <w:sz w:val="32"/>
          <w:szCs w:val="32"/>
        </w:rPr>
        <w:t>“一带一路”战略与我国开放型经济新体制建设的理论与实践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我国物联网服务业的崛起、发展与创新调查研</w:t>
      </w:r>
      <w:r>
        <w:rPr>
          <w:rFonts w:hint="eastAsia" w:ascii="Century" w:hAnsi="Century" w:eastAsia="方正仿宋_GBK" w:cs="Century"/>
          <w:b w:val="0"/>
          <w:bCs/>
          <w:sz w:val="32"/>
          <w:szCs w:val="32"/>
          <w:lang w:val="en-US" w:eastAsia="zh-CN"/>
        </w:rPr>
        <w:t>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rPr>
      </w:pPr>
      <w:r>
        <w:rPr>
          <w:rFonts w:hint="default" w:ascii="Century" w:hAnsi="Century" w:eastAsia="方正仿宋_GBK" w:cs="Century"/>
          <w:b w:val="0"/>
          <w:bCs/>
          <w:sz w:val="32"/>
          <w:szCs w:val="32"/>
        </w:rPr>
        <w:t>15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构建以企业为主体、市场为导向、产学研相结合的技术创新体系实践和经验的调查研究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16</w:t>
      </w:r>
      <w:r>
        <w:rPr>
          <w:rFonts w:hint="eastAsia" w:ascii="Century" w:hAnsi="Century" w:eastAsia="方正仿宋_GBK" w:cs="Century"/>
          <w:b w:val="0"/>
          <w:bCs/>
          <w:sz w:val="32"/>
          <w:szCs w:val="32"/>
          <w:lang w:val="en-US" w:eastAsia="zh-CN"/>
        </w:rPr>
        <w:t xml:space="preserve">. </w:t>
      </w:r>
      <w:r>
        <w:rPr>
          <w:rFonts w:hint="eastAsia" w:ascii="Century" w:hAnsi="Century" w:eastAsia="方正仿宋_GBK" w:cs="Century"/>
          <w:b w:val="0"/>
          <w:bCs/>
          <w:sz w:val="32"/>
          <w:szCs w:val="32"/>
        </w:rPr>
        <w:t>各地推动“双创”、提振经济、扩大就业的典型调查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17</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我国现代服务业发展路径开拓和模式创新的典型调查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18</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活跃和完善中国式劳动力和人才市场调查研究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深化收入分配制度改革、不断提高居民收入的案例调查研究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20</w:t>
      </w:r>
      <w:r>
        <w:rPr>
          <w:rFonts w:hint="eastAsia" w:ascii="Century" w:hAnsi="Century" w:eastAsia="方正仿宋_GBK" w:cs="Century"/>
          <w:b w:val="0"/>
          <w:bCs/>
          <w:sz w:val="32"/>
          <w:szCs w:val="32"/>
          <w:lang w:val="en-US" w:eastAsia="zh-CN"/>
        </w:rPr>
        <w:t>. 制造业转型升级与创新驱动问题调查研究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深化国有企业改革和完善国有资产管理的典型调查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22．21世纪我国企业“走出去”的典型调查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23</w:t>
      </w:r>
      <w:r>
        <w:rPr>
          <w:rFonts w:hint="eastAsia" w:ascii="Century" w:hAnsi="Century" w:eastAsia="方正仿宋_GBK" w:cs="Century"/>
          <w:b w:val="0"/>
          <w:bCs/>
          <w:sz w:val="32"/>
          <w:szCs w:val="32"/>
          <w:lang w:val="en-US" w:eastAsia="zh-CN"/>
        </w:rPr>
        <w:t>. 新型城镇化与乡村振兴战略的典型调查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各地生态环境产业发展与创新调查分析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25</w:t>
      </w:r>
      <w:r>
        <w:rPr>
          <w:rFonts w:hint="eastAsia" w:ascii="Century" w:hAnsi="Century" w:eastAsia="方正仿宋_GBK" w:cs="Century"/>
          <w:b w:val="0"/>
          <w:bCs/>
          <w:sz w:val="32"/>
          <w:szCs w:val="32"/>
          <w:lang w:val="en-US" w:eastAsia="zh-CN"/>
        </w:rPr>
        <w:t>. 高质量发展（区域、产业、企业）路径调研和分析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26</w:t>
      </w:r>
      <w:r>
        <w:rPr>
          <w:rFonts w:hint="eastAsia" w:ascii="Century" w:hAnsi="Century" w:eastAsia="方正仿宋_GBK" w:cs="Century"/>
          <w:b w:val="0"/>
          <w:bCs/>
          <w:sz w:val="32"/>
          <w:szCs w:val="32"/>
          <w:lang w:val="en-US" w:eastAsia="zh-CN"/>
        </w:rPr>
        <w:t>. 新动能、新技术、新业态、新模式典型调查研究以及国际比较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27</w:t>
      </w:r>
      <w:r>
        <w:rPr>
          <w:rFonts w:hint="eastAsia" w:ascii="Century" w:hAnsi="Century" w:eastAsia="方正仿宋_GBK" w:cs="Century"/>
          <w:b w:val="0"/>
          <w:bCs/>
          <w:sz w:val="32"/>
          <w:szCs w:val="32"/>
          <w:lang w:val="en-US" w:eastAsia="zh-CN"/>
        </w:rPr>
        <w:t>. 简政减税降费典型调查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28</w:t>
      </w:r>
      <w:r>
        <w:rPr>
          <w:rFonts w:hint="eastAsia" w:ascii="Century" w:hAnsi="Century" w:eastAsia="方正仿宋_GBK" w:cs="Century"/>
          <w:b w:val="0"/>
          <w:bCs/>
          <w:sz w:val="32"/>
          <w:szCs w:val="32"/>
          <w:lang w:val="en-US" w:eastAsia="zh-CN"/>
        </w:rPr>
        <w:t>. 营商环境改善调研和分析</w:t>
      </w:r>
    </w:p>
    <w:p>
      <w:pPr>
        <w:spacing w:line="520" w:lineRule="exact"/>
        <w:ind w:firstLine="640" w:firstLineChars="200"/>
        <w:rPr>
          <w:rFonts w:ascii="Times New Roman" w:hAnsi="Times New Roman" w:eastAsia="方正仿宋简体" w:cs="Times New Roman"/>
          <w:b/>
          <w:bCs/>
          <w:sz w:val="32"/>
          <w:szCs w:val="32"/>
        </w:rPr>
      </w:pPr>
    </w:p>
    <w:p>
      <w:pPr>
        <w:spacing w:line="52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社会学类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各地加强社会建设的典型调查研究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  各地创新社会治理防范社会风险的典型调查研究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lang w:val="en-US" w:eastAsia="zh-CN"/>
        </w:rPr>
        <w:t xml:space="preserve">3.  </w:t>
      </w:r>
      <w:r>
        <w:rPr>
          <w:rFonts w:hint="default" w:ascii="Century" w:hAnsi="Century" w:eastAsia="方正仿宋_GBK" w:cs="Century"/>
          <w:b w:val="0"/>
          <w:bCs/>
          <w:sz w:val="32"/>
          <w:szCs w:val="32"/>
        </w:rPr>
        <w:t>各地加强和完善社区建设和服务的实践和经验调查研究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lang w:val="en-US" w:eastAsia="zh-CN"/>
        </w:rPr>
        <w:t xml:space="preserve">4.  </w:t>
      </w:r>
      <w:r>
        <w:rPr>
          <w:rFonts w:hint="default" w:ascii="Century" w:hAnsi="Century" w:eastAsia="方正仿宋_GBK" w:cs="Century"/>
          <w:b w:val="0"/>
          <w:bCs/>
          <w:sz w:val="32"/>
          <w:szCs w:val="32"/>
        </w:rPr>
        <w:t>改善促进民生推进社会保障事业的典型调查研究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lang w:val="en-US" w:eastAsia="zh-CN"/>
        </w:rPr>
        <w:t>5.  户籍制度改革与农民工社会融入的经验调查研究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lang w:val="en-US" w:eastAsia="zh-CN"/>
        </w:rPr>
        <w:t xml:space="preserve">6.  </w:t>
      </w:r>
      <w:r>
        <w:rPr>
          <w:rFonts w:hint="default" w:ascii="Century" w:hAnsi="Century" w:eastAsia="方正仿宋_GBK" w:cs="Century"/>
          <w:b w:val="0"/>
          <w:bCs/>
          <w:sz w:val="32"/>
          <w:szCs w:val="32"/>
        </w:rPr>
        <w:t>社会诚信、商务诚信、政务诚信建设实践和经验调查研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rPr>
        <w:t>7</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就业方式和就业观念转变的调查研究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rPr>
        <w:t>8</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人口结构变化对经济社会发展的影响调查研究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rPr>
        <w:t>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各地建设社会养老服务体系和发展老年服务产业的调查研究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0</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社会变迁与消费转型的调查研究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社会工作服务活动和组织建设的调查研究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我国社会救助工作体制和状况调查研究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我国志愿者事业的发展状况和影响调查研究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推进基层医疗卫生机构综合改革的典型调查研究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社会办医，非盈利性医疗机构的发展与改革调查研究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6</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城市务工人员医疗保险改革和创新典型调查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7</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大众传媒中表达的价值观对受众的影响调查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rPr>
        <w:t>8</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时尚的社会学和社会心理学研究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rPr>
        <w:t>19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网络发展及其对青少年影响的调查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rPr>
        <w:t>0</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农村土地流转</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乡村振兴战略的实施</w:t>
      </w:r>
      <w:r>
        <w:rPr>
          <w:rFonts w:hint="default" w:ascii="Century" w:hAnsi="Century" w:eastAsia="方正仿宋_GBK" w:cs="Century"/>
          <w:b w:val="0"/>
          <w:bCs/>
          <w:sz w:val="32"/>
          <w:szCs w:val="32"/>
        </w:rPr>
        <w:t>与社会主义新农村建设问题研究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精准扶贫与农村贫困人口构成的转变问题研究</w:t>
      </w:r>
    </w:p>
    <w:p>
      <w:pPr>
        <w:spacing w:line="520" w:lineRule="exact"/>
        <w:ind w:firstLine="640" w:firstLineChars="200"/>
        <w:rPr>
          <w:rFonts w:ascii="Times New Roman" w:hAnsi="Times New Roman" w:eastAsia="方正仿宋简体" w:cs="Times New Roman"/>
          <w:b/>
          <w:bCs/>
          <w:sz w:val="32"/>
          <w:szCs w:val="32"/>
        </w:rPr>
      </w:pPr>
    </w:p>
    <w:p>
      <w:pPr>
        <w:spacing w:line="52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法律类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全面推进依法治国必须坚持的基本原则研究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党的领导、人民当家作主和依法治国有机统一的实现机制研究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我国实施社会主义宪法的实践和经验研究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w:t>
      </w:r>
      <w:r>
        <w:rPr>
          <w:rFonts w:hint="eastAsia" w:ascii="Century" w:hAnsi="Century" w:eastAsia="方正仿宋_GBK" w:cs="Century"/>
          <w:b w:val="0"/>
          <w:bCs/>
          <w:sz w:val="32"/>
          <w:szCs w:val="32"/>
          <w:lang w:val="en-US" w:eastAsia="zh-CN"/>
        </w:rPr>
        <w:t>社会主义市场经济法治实践相关问题调查研究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物权法实施问题研究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6</w:t>
      </w:r>
      <w:r>
        <w:rPr>
          <w:rFonts w:hint="eastAsia" w:ascii="Century" w:hAnsi="Century" w:eastAsia="方正仿宋_GBK" w:cs="Century"/>
          <w:b w:val="0"/>
          <w:bCs/>
          <w:sz w:val="32"/>
          <w:szCs w:val="32"/>
          <w:lang w:val="en-US" w:eastAsia="zh-CN"/>
        </w:rPr>
        <w:t>.  完善</w:t>
      </w:r>
      <w:r>
        <w:rPr>
          <w:rFonts w:hint="default" w:ascii="Century" w:hAnsi="Century" w:eastAsia="方正仿宋_GBK" w:cs="Century"/>
          <w:b w:val="0"/>
          <w:bCs/>
          <w:sz w:val="32"/>
          <w:szCs w:val="32"/>
        </w:rPr>
        <w:t>知识产权法</w:t>
      </w:r>
      <w:r>
        <w:rPr>
          <w:rFonts w:hint="eastAsia" w:ascii="Century" w:hAnsi="Century" w:eastAsia="方正仿宋_GBK" w:cs="Century"/>
          <w:b w:val="0"/>
          <w:bCs/>
          <w:sz w:val="32"/>
          <w:szCs w:val="32"/>
          <w:lang w:val="en-US" w:eastAsia="zh-CN"/>
        </w:rPr>
        <w:t>与实施机制</w:t>
      </w:r>
      <w:r>
        <w:rPr>
          <w:rFonts w:hint="default" w:ascii="Century" w:hAnsi="Century" w:eastAsia="方正仿宋_GBK" w:cs="Century"/>
          <w:b w:val="0"/>
          <w:bCs/>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7</w:t>
      </w:r>
      <w:r>
        <w:rPr>
          <w:rFonts w:hint="eastAsia" w:ascii="Century" w:hAnsi="Century" w:eastAsia="方正仿宋_GBK" w:cs="Century"/>
          <w:b w:val="0"/>
          <w:bCs/>
          <w:sz w:val="32"/>
          <w:szCs w:val="32"/>
          <w:lang w:val="en-US" w:eastAsia="zh-CN"/>
        </w:rPr>
        <w:t>.  新型互联网犯罪之应对研究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8</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我国民事立法完善问题研究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未成年人法律保护问题调查研究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10</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各地法律援助工作的发展和创新实践调查研究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公益诉讼问题研究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我国文化、社会与生态文明建设的法律法规问题调查研究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推进以审判为中心的诉讼制度改革典型调查研究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14</w:t>
      </w:r>
      <w:r>
        <w:rPr>
          <w:rFonts w:hint="eastAsia" w:ascii="Century" w:hAnsi="Century" w:eastAsia="方正仿宋_GBK" w:cs="Century"/>
          <w:b w:val="0"/>
          <w:bCs/>
          <w:sz w:val="32"/>
          <w:szCs w:val="32"/>
          <w:lang w:val="en-US" w:eastAsia="zh-CN"/>
        </w:rPr>
        <w:t>. 我国</w:t>
      </w:r>
      <w:r>
        <w:rPr>
          <w:rFonts w:hint="default" w:ascii="Century" w:hAnsi="Century" w:eastAsia="方正仿宋_GBK" w:cs="Century"/>
          <w:b w:val="0"/>
          <w:bCs/>
          <w:sz w:val="32"/>
          <w:szCs w:val="32"/>
        </w:rPr>
        <w:t>网络空间</w:t>
      </w:r>
      <w:r>
        <w:rPr>
          <w:rFonts w:hint="eastAsia" w:ascii="Century" w:hAnsi="Century" w:eastAsia="方正仿宋_GBK" w:cs="Century"/>
          <w:b w:val="0"/>
          <w:bCs/>
          <w:sz w:val="32"/>
          <w:szCs w:val="32"/>
          <w:lang w:val="en-US" w:eastAsia="zh-CN"/>
        </w:rPr>
        <w:t>法治实践调查</w:t>
      </w:r>
      <w:r>
        <w:rPr>
          <w:rFonts w:hint="default" w:ascii="Century" w:hAnsi="Century" w:eastAsia="方正仿宋_GBK" w:cs="Century"/>
          <w:b w:val="0"/>
          <w:bCs/>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15</w:t>
      </w:r>
      <w:r>
        <w:rPr>
          <w:rFonts w:hint="eastAsia" w:ascii="Century" w:hAnsi="Century" w:eastAsia="方正仿宋_GBK" w:cs="Century"/>
          <w:b w:val="0"/>
          <w:bCs/>
          <w:sz w:val="32"/>
          <w:szCs w:val="32"/>
          <w:lang w:val="en-US" w:eastAsia="zh-CN"/>
        </w:rPr>
        <w:t xml:space="preserve">. </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电子商务发</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实施相关问题研究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 xml:space="preserve">16. </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网络安全法</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实施相关问题研究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17. 基本法框架下的一国两制与国家统一问题研究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18. 全面从严治党与全面依法治国关系研究</w:t>
      </w:r>
    </w:p>
    <w:p>
      <w:pPr>
        <w:spacing w:line="520" w:lineRule="exact"/>
        <w:ind w:firstLine="640" w:firstLineChars="200"/>
        <w:rPr>
          <w:rFonts w:ascii="Times New Roman" w:hAnsi="Times New Roman" w:eastAsia="方正仿宋简体" w:cs="Times New Roman"/>
          <w:b/>
          <w:bCs/>
          <w:sz w:val="32"/>
          <w:szCs w:val="32"/>
        </w:rPr>
      </w:pPr>
    </w:p>
    <w:p>
      <w:pPr>
        <w:spacing w:line="52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教育类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全面建成小康社会、全面深化改革和我国教育的发展与改革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创新型国家建设与教育体制改革与创新调查研究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新时期我国职业技术教育发展创新的调查研究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新世纪我国大学教育教学发展、创新和改革的典型调查研究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各地解决中小学应试教育现象的举措和经验调查研究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6</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培养学生创新精神、创业本领和实践能力教学改革的典型调查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7</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学校提高学生审美和人文素质的改革与创新调查研究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8</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当代大学生价值取向和心理素质的调查分析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中小学加强和创新社会主义价值观培育的典型调查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10</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各类学校强化体育课和课外锻炼，促进学生身心健康的做法和经验调查研究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各类学校完善中华优秀传统文化教育的实践和经验调查研究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各地逐步缩小区域、城乡、校际教育资源差距的举措和经验调查研究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国家推进少数民族地区教育发展的举措和成就调查研究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中外学校间学生交流活动的调查研究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建设学习型社会、完善终身教育实践的调查研究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16. 大学生自主创业案例研究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17. 互联网、大数据等新技术的教学应用的调查研究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18. 校园文化、学生社团的调查研究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高校思想政治工作及思政课创新实践的经验调查研究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spacing w:line="520" w:lineRule="exact"/>
        <w:jc w:val="center"/>
        <w:rPr>
          <w:rFonts w:ascii="Times New Roman" w:hAnsi="Times New Roman" w:eastAsia="方正黑体简体" w:cs="Times New Roman"/>
          <w:b/>
          <w:bCs/>
          <w:sz w:val="32"/>
          <w:szCs w:val="32"/>
        </w:rPr>
      </w:pPr>
      <w:r>
        <w:rPr>
          <w:rFonts w:hint="eastAsia" w:ascii="方正黑体_GBK" w:hAnsi="方正黑体_GBK" w:eastAsia="方正黑体_GBK" w:cs="方正黑体_GBK"/>
          <w:b w:val="0"/>
          <w:bCs w:val="0"/>
          <w:sz w:val="32"/>
          <w:szCs w:val="32"/>
        </w:rPr>
        <w:t>管理类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在全面深化改革中政府转型、行政改革和法治政府建设的典型调查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电子政务建设现状和问题的调查分析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电子商务在全面深化改革中发展创新的典型调查研究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新型科技企业管理和服务</w:t>
      </w:r>
      <w:r>
        <w:rPr>
          <w:rFonts w:hint="eastAsia" w:ascii="Century" w:hAnsi="Century" w:eastAsia="方正仿宋_GBK" w:cs="Century"/>
          <w:b w:val="0"/>
          <w:bCs/>
          <w:sz w:val="32"/>
          <w:szCs w:val="32"/>
        </w:rPr>
        <w:t>创新</w:t>
      </w:r>
      <w:r>
        <w:rPr>
          <w:rFonts w:hint="default" w:ascii="Century" w:hAnsi="Century" w:eastAsia="方正仿宋_GBK" w:cs="Century"/>
          <w:b w:val="0"/>
          <w:bCs/>
          <w:sz w:val="32"/>
          <w:szCs w:val="32"/>
        </w:rPr>
        <w:t>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5</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社区物业管理体制和模式的典型调查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6</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大型零售企业物流系统发展调查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7</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企业经营管理</w:t>
      </w:r>
      <w:r>
        <w:rPr>
          <w:rFonts w:hint="eastAsia" w:ascii="Century" w:hAnsi="Century" w:eastAsia="方正仿宋_GBK" w:cs="Century"/>
          <w:b w:val="0"/>
          <w:bCs/>
          <w:sz w:val="32"/>
          <w:szCs w:val="32"/>
          <w:lang w:val="en-US" w:eastAsia="zh-CN"/>
        </w:rPr>
        <w:t>数字化、智能化、网络化</w:t>
      </w:r>
      <w:r>
        <w:rPr>
          <w:rFonts w:hint="default" w:ascii="Century" w:hAnsi="Century" w:eastAsia="方正仿宋_GBK" w:cs="Century"/>
          <w:b w:val="0"/>
          <w:bCs/>
          <w:sz w:val="32"/>
          <w:szCs w:val="32"/>
        </w:rPr>
        <w:t>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8</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我国企业家队伍成长发展的调查分析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9</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资源、环境、生态保护和管理体制问题调查研究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10</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企业在创新转型升级中崛起和发展的典型调查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11</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中国特色企业管理模式创新调查研究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12</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工矿企业安全生产监管体制和状况调查研究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13</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新世纪我国商会（企业和企业家协会）建设新进展、新作用调查研究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14</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基层政府行政管理体制改革创新的典型调查研究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15．政府提供公共服务与购买公共服务改革的典型调查研究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16．便民快捷健全的社会保障服务体系建设的调查研究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17．各地建立和完善中小微企业服务体系实践和经验的调查研究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18．基层政府推进政务公开、信息公开的调查研究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19．在进一步简政放权改革中基层政府管理和服务体制机制改革创新的调查研究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20．县乡政府管理成本降低状况及存在问题的调查研究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1</w:t>
      </w:r>
      <w:r>
        <w:rPr>
          <w:rFonts w:hint="default" w:ascii="Century" w:hAnsi="Century" w:eastAsia="方正仿宋_GBK" w:cs="Century"/>
          <w:b w:val="0"/>
          <w:bCs/>
          <w:sz w:val="32"/>
          <w:szCs w:val="32"/>
        </w:rPr>
        <w:t>.</w:t>
      </w:r>
      <w:r>
        <w:rPr>
          <w:rFonts w:hint="eastAsia" w:ascii="Century" w:hAnsi="Century" w:eastAsia="方正仿宋_GBK" w:cs="Century"/>
          <w:b w:val="0"/>
          <w:bCs/>
          <w:sz w:val="32"/>
          <w:szCs w:val="32"/>
          <w:lang w:val="en-US" w:eastAsia="zh-CN"/>
        </w:rPr>
        <w:t xml:space="preserve"> （企业、政府、城市）“智能+”管理创新的调查研究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w:t>
      </w:r>
      <w:r>
        <w:rPr>
          <w:rFonts w:hint="eastAsia" w:ascii="Century" w:hAnsi="Century" w:eastAsia="方正仿宋_GBK" w:cs="Century"/>
          <w:b w:val="0"/>
          <w:bCs/>
          <w:sz w:val="32"/>
          <w:szCs w:val="32"/>
          <w:lang w:val="en-US" w:eastAsia="zh-CN"/>
        </w:rPr>
        <w:t>2</w:t>
      </w:r>
      <w:r>
        <w:rPr>
          <w:rFonts w:hint="default" w:ascii="Century" w:hAnsi="Century" w:eastAsia="方正仿宋_GBK" w:cs="Century"/>
          <w:b w:val="0"/>
          <w:bCs/>
          <w:sz w:val="32"/>
          <w:szCs w:val="32"/>
        </w:rPr>
        <w:t>.</w:t>
      </w:r>
      <w:r>
        <w:rPr>
          <w:rFonts w:hint="eastAsia" w:ascii="Century" w:hAnsi="Century" w:eastAsia="方正仿宋_GBK" w:cs="Century"/>
          <w:b w:val="0"/>
          <w:bCs/>
          <w:sz w:val="32"/>
          <w:szCs w:val="32"/>
          <w:lang w:val="en-US" w:eastAsia="zh-CN"/>
        </w:rPr>
        <w:t xml:space="preserve"> 智慧医疗发展的典型调查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方正黑体简体" w:cs="Times New Roman"/>
          <w:b w:val="0"/>
          <w:bCs w:val="0"/>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default" w:ascii="Century" w:hAnsi="Century" w:eastAsia="方正仿宋_GBK" w:cs="Century"/>
          <w:b w:val="0"/>
          <w:bCs/>
          <w:sz w:val="32"/>
          <w:szCs w:val="32"/>
          <w:lang w:val="en-US" w:eastAsia="zh-CN"/>
        </w:rPr>
        <w:br w:type="page"/>
      </w:r>
    </w:p>
    <w:p>
      <w:pPr>
        <w:spacing w:line="560" w:lineRule="exact"/>
        <w:rPr>
          <w:rFonts w:hint="default" w:ascii="Century" w:hAnsi="Century" w:eastAsia="方正黑体_GBK" w:cs="Century"/>
          <w:sz w:val="32"/>
          <w:szCs w:val="32"/>
          <w:lang w:val="en-US" w:eastAsia="zh-CN"/>
        </w:rPr>
      </w:pPr>
      <w:r>
        <w:rPr>
          <w:rFonts w:hint="default" w:ascii="Century" w:hAnsi="Century" w:eastAsia="方正黑体_GBK" w:cs="Century"/>
          <w:sz w:val="32"/>
          <w:szCs w:val="32"/>
        </w:rPr>
        <w:t>附件</w:t>
      </w:r>
      <w:r>
        <w:rPr>
          <w:rFonts w:hint="eastAsia" w:ascii="Century" w:hAnsi="Century" w:eastAsia="方正黑体_GBK" w:cs="Century"/>
          <w:sz w:val="32"/>
          <w:szCs w:val="32"/>
          <w:lang w:val="en-US" w:eastAsia="zh-CN"/>
        </w:rPr>
        <w:t>2</w:t>
      </w:r>
    </w:p>
    <w:p>
      <w:pPr>
        <w:spacing w:line="520" w:lineRule="exact"/>
        <w:jc w:val="left"/>
        <w:rPr>
          <w:rFonts w:hint="default" w:ascii="Century" w:hAnsi="Century" w:eastAsia="方正黑体_GBK" w:cs="Century"/>
          <w:sz w:val="32"/>
          <w:szCs w:val="32"/>
          <w:lang w:val="en-US" w:eastAsia="zh-CN"/>
        </w:rPr>
      </w:pPr>
    </w:p>
    <w:p>
      <w:pPr>
        <w:spacing w:after="0" w:line="540" w:lineRule="atLeast"/>
        <w:jc w:val="center"/>
        <w:rPr>
          <w:rFonts w:hint="default" w:ascii="Century" w:hAnsi="Century" w:eastAsia="方正大标宋_GBK" w:cs="Century"/>
          <w:sz w:val="44"/>
          <w:szCs w:val="24"/>
        </w:rPr>
      </w:pPr>
      <w:r>
        <w:rPr>
          <w:rFonts w:hint="default" w:ascii="Century" w:hAnsi="Century" w:eastAsia="方正大标宋_GBK" w:cs="Century"/>
          <w:sz w:val="44"/>
          <w:szCs w:val="24"/>
        </w:rPr>
        <w:t>竞赛章程</w:t>
      </w:r>
      <w:r>
        <w:rPr>
          <w:rFonts w:hint="default" w:ascii="Century" w:hAnsi="Century" w:eastAsia="方正楷体_GBK" w:cs="Century"/>
          <w:b w:val="0"/>
          <w:bCs w:val="0"/>
          <w:sz w:val="32"/>
          <w:szCs w:val="32"/>
          <w:lang w:eastAsia="zh-CN"/>
        </w:rPr>
        <w:t>（</w:t>
      </w:r>
      <w:r>
        <w:rPr>
          <w:rFonts w:hint="default" w:ascii="Century" w:hAnsi="Century" w:eastAsia="方正楷体_GBK" w:cs="Century"/>
          <w:b w:val="0"/>
          <w:bCs w:val="0"/>
          <w:sz w:val="32"/>
          <w:szCs w:val="32"/>
          <w:lang w:val="en-US" w:eastAsia="zh-CN"/>
        </w:rPr>
        <w:t>试行</w:t>
      </w:r>
      <w:r>
        <w:rPr>
          <w:rFonts w:hint="default" w:ascii="Century" w:hAnsi="Century" w:eastAsia="方正楷体_GBK" w:cs="Century"/>
          <w:b w:val="0"/>
          <w:bCs w:val="0"/>
          <w:sz w:val="32"/>
          <w:szCs w:val="32"/>
          <w:lang w:eastAsia="zh-CN"/>
        </w:rPr>
        <w:t>）</w:t>
      </w:r>
    </w:p>
    <w:p>
      <w:pPr>
        <w:spacing w:after="0" w:line="540" w:lineRule="atLeast"/>
        <w:rPr>
          <w:rFonts w:hint="default" w:ascii="Century" w:hAnsi="Century" w:eastAsia="方正楷体简体" w:cs="Century"/>
          <w:b/>
          <w:bCs/>
          <w:sz w:val="32"/>
          <w:szCs w:val="32"/>
        </w:rPr>
      </w:pPr>
      <w:r>
        <w:rPr>
          <w:rFonts w:hint="default" w:ascii="Century" w:hAnsi="Century" w:eastAsia="方正楷体_GBK" w:cs="Century"/>
          <w:b w:val="0"/>
          <w:bCs w:val="0"/>
          <w:sz w:val="32"/>
          <w:szCs w:val="32"/>
        </w:rPr>
        <w:t>（经第十</w:t>
      </w:r>
      <w:r>
        <w:rPr>
          <w:rFonts w:hint="default" w:ascii="Century" w:hAnsi="Century" w:eastAsia="方正楷体_GBK" w:cs="Century"/>
          <w:b w:val="0"/>
          <w:bCs w:val="0"/>
          <w:sz w:val="32"/>
          <w:szCs w:val="32"/>
          <w:lang w:val="en-US" w:eastAsia="zh-CN"/>
        </w:rPr>
        <w:t>六</w:t>
      </w:r>
      <w:r>
        <w:rPr>
          <w:rFonts w:hint="default" w:ascii="Century" w:hAnsi="Century" w:eastAsia="方正楷体_GBK" w:cs="Century"/>
          <w:b w:val="0"/>
          <w:bCs w:val="0"/>
          <w:sz w:val="32"/>
          <w:szCs w:val="32"/>
        </w:rPr>
        <w:t>届“挑战杯”竞赛组委会第一次全体会议通过）</w:t>
      </w:r>
    </w:p>
    <w:p>
      <w:pPr>
        <w:spacing w:after="0" w:line="540" w:lineRule="atLeast"/>
        <w:rPr>
          <w:rFonts w:hint="default" w:ascii="Century" w:hAnsi="Century" w:eastAsia="方正仿宋_GBK" w:cs="Century"/>
          <w:b w:val="0"/>
          <w:bCs w:val="0"/>
          <w:sz w:val="24"/>
          <w:szCs w:val="24"/>
        </w:rPr>
      </w:pPr>
    </w:p>
    <w:p>
      <w:pPr>
        <w:spacing w:line="520" w:lineRule="exact"/>
        <w:jc w:val="center"/>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第一章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总</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spacing w:line="520" w:lineRule="exact"/>
        <w:jc w:val="center"/>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第一条</w:t>
      </w:r>
      <w:r>
        <w:rPr>
          <w:rFonts w:hint="default" w:ascii="Century" w:hAnsi="Century" w:eastAsia="方正仿宋简体" w:cs="Century"/>
          <w:b/>
          <w:sz w:val="32"/>
          <w:szCs w:val="32"/>
        </w:rPr>
        <w:t xml:space="preserve">  </w:t>
      </w:r>
      <w:r>
        <w:rPr>
          <w:rFonts w:hint="default" w:ascii="Century" w:hAnsi="Century" w:eastAsia="方正仿宋_GBK" w:cs="Century"/>
          <w:b w:val="0"/>
          <w:bCs/>
          <w:sz w:val="32"/>
          <w:szCs w:val="32"/>
        </w:rPr>
        <w:t>“挑战杯”全国大学生课外学术科技作品竞赛是由共青团中央、中国科协、教育部、中国社会科学院、全国学联、省级人民政府主办的大学生课外学术科技活动中一项具有导向性、示范性和群众性的竞赛活动，每两年举办一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第二条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竞赛的宗旨：崇尚科学、追求真知、勤奋学习、锐意创新、迎接挑战。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第三条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第四条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Century" w:hAnsi="Century" w:eastAsia="方正大标宋简体" w:cs="Century"/>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Century" w:hAnsi="Century" w:eastAsia="方正大标宋简体" w:cs="Century"/>
          <w:b/>
          <w:sz w:val="32"/>
          <w:szCs w:val="32"/>
        </w:rPr>
      </w:pPr>
      <w:r>
        <w:rPr>
          <w:rFonts w:hint="eastAsia" w:ascii="Century" w:hAnsi="Century" w:eastAsia="方正大标宋简体" w:cs="Century"/>
          <w:b w:val="0"/>
          <w:bCs w:val="0"/>
          <w:sz w:val="32"/>
          <w:szCs w:val="32"/>
          <w:lang w:val="en-US" w:eastAsia="zh-CN"/>
        </w:rPr>
        <w:t xml:space="preserve">第二章  </w:t>
      </w:r>
      <w:r>
        <w:rPr>
          <w:rFonts w:hint="default" w:ascii="Century" w:hAnsi="Century" w:eastAsia="方正大标宋简体" w:cs="Century"/>
          <w:b w:val="0"/>
          <w:bCs w:val="0"/>
          <w:sz w:val="32"/>
          <w:szCs w:val="32"/>
        </w:rPr>
        <w:t>组织机构及其职责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Century" w:hAnsi="Century" w:eastAsia="方正大标宋简体" w:cs="Century"/>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第五条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竞赛设立领导小组，由主办单位和承办单位的有关负责人组成，负责指导竞赛活动，并对全国组织委员会和全国评审委员会提交的问题进行协调和裁决。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第六条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第七条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全国组织委员会的职责如下：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审议、修改竞赛的章程。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 筹集竞赛组织、评审、奖励所需的经费。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 投票表决竞赛承办高校。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4. 议决其它应由组委会议决的事项。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第八条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全国组织委员会下设秘书处，负责按照全国组委会通过的章程组织竞赛活动并向全国组委会报告工作。秘书处设秘书长、副秘书长若干名，由主办单位、承办单位有关领导担任。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第九条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竞赛设立全国评审委员会，由主办单位聘请的相关学科具有高级职称的非高校专家</w:t>
      </w:r>
      <w:r>
        <w:rPr>
          <w:rFonts w:hint="eastAsia" w:ascii="Century" w:hAnsi="Century" w:eastAsia="方正仿宋_GBK" w:cs="Century"/>
          <w:b w:val="0"/>
          <w:bCs/>
          <w:sz w:val="32"/>
          <w:szCs w:val="32"/>
          <w:lang w:val="en-US" w:eastAsia="zh-CN"/>
        </w:rPr>
        <w:t>或高科技企业的技术骨干</w:t>
      </w:r>
      <w:r>
        <w:rPr>
          <w:rFonts w:hint="default" w:ascii="Century" w:hAnsi="Century" w:eastAsia="方正仿宋_GBK" w:cs="Century"/>
          <w:b w:val="0"/>
          <w:bCs/>
          <w:sz w:val="32"/>
          <w:szCs w:val="32"/>
        </w:rPr>
        <w:t>组成。全国评审委员会设主任1名，常务副主任2名，副主任若干名，秘书长1名。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全国评审委员会经主办单位批准成立，有权在本章程和评审规则所规定的原则下，独立开展评审工作。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全国评审委员会职责如下：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在本章程和评审规则基础上制定评审实施细则。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 xml:space="preserve">2. </w:t>
      </w:r>
      <w:r>
        <w:rPr>
          <w:rFonts w:hint="eastAsia" w:ascii="Century" w:hAnsi="Century" w:eastAsia="方正仿宋_GBK" w:cs="Century"/>
          <w:b w:val="0"/>
          <w:bCs/>
          <w:sz w:val="32"/>
          <w:szCs w:val="32"/>
          <w:lang w:val="en-US" w:eastAsia="zh-CN"/>
        </w:rPr>
        <w:t>终审决赛环节实行公开答辩制，答辩前评审委员可以到参赛作品集中展示区审看参赛作品及其演示。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3. 确定参赛作品获奖等次。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第十一条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第十二条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作品资格评判委员会职责如下：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授权全国组委会秘书处在预审开始至终审决赛结束前接受参赛学校和学生、评委、社会各界人士对参赛作品资格的质疑投诉。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 在终审决赛结束前，如出现被质疑投诉作品，资格评判委员会应召开会议，对被质疑投诉的参赛作品的作者及所属学校进行质询。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3. 投票表决被质疑投诉作品是否具备参赛资格。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第十三条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终审决赛结束后，对作品的质疑投诉继续按本章程第三十</w:t>
      </w:r>
      <w:r>
        <w:rPr>
          <w:rFonts w:hint="eastAsia" w:ascii="Century" w:hAnsi="Century" w:eastAsia="方正仿宋_GBK" w:cs="Century"/>
          <w:b w:val="0"/>
          <w:bCs/>
          <w:sz w:val="32"/>
          <w:szCs w:val="32"/>
          <w:lang w:val="en-US" w:eastAsia="zh-CN"/>
        </w:rPr>
        <w:t>七</w:t>
      </w:r>
      <w:r>
        <w:rPr>
          <w:rFonts w:hint="default" w:ascii="Century" w:hAnsi="Century" w:eastAsia="方正仿宋_GBK" w:cs="Century"/>
          <w:b w:val="0"/>
          <w:bCs/>
          <w:sz w:val="32"/>
          <w:szCs w:val="32"/>
        </w:rPr>
        <w:t>条执行。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第十四条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主办单位根据团体总分优先原则，确定上届竞赛总分前70名的学校为联合发起高校，并可根据终审决赛规模、地区平衡、学校类别及代表性、承办地区等因素作部分调整。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第十五条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Century" w:hAnsi="Century" w:eastAsia="方正黑体简体" w:cs="Century"/>
          <w:b/>
          <w:bCs/>
          <w:sz w:val="32"/>
          <w:szCs w:val="32"/>
        </w:rPr>
      </w:pPr>
      <w:r>
        <w:rPr>
          <w:rFonts w:hint="eastAsia" w:ascii="Century" w:hAnsi="Century" w:eastAsia="方正大标宋简体" w:cs="Century"/>
          <w:b w:val="0"/>
          <w:bCs w:val="0"/>
          <w:sz w:val="32"/>
          <w:szCs w:val="32"/>
          <w:lang w:val="en-US" w:eastAsia="zh-CN"/>
        </w:rPr>
        <w:t xml:space="preserve">第三章  </w:t>
      </w:r>
      <w:r>
        <w:rPr>
          <w:rFonts w:hint="default" w:ascii="Century" w:hAnsi="Century" w:eastAsia="方正大标宋简体" w:cs="Century"/>
          <w:b w:val="0"/>
          <w:bCs w:val="0"/>
          <w:sz w:val="32"/>
          <w:szCs w:val="32"/>
        </w:rPr>
        <w:t>参赛资格与作品申报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Century" w:hAnsi="Century" w:eastAsia="方正黑体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第十六条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凡在举办竞赛终审决赛的当年6月1日以前正式注册的全日制非成人教育的各类高等院校在校专科生、本科生、硕士研究生（不含在职研究生）都可申报作品参赛。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第十七条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w:t>
      </w:r>
      <w:r>
        <w:rPr>
          <w:rFonts w:hint="eastAsia" w:ascii="Century" w:hAnsi="Century" w:eastAsia="方正仿宋_GBK" w:cs="Century"/>
          <w:b w:val="0"/>
          <w:bCs/>
          <w:sz w:val="32"/>
          <w:szCs w:val="32"/>
          <w:lang w:val="en-US" w:eastAsia="zh-CN"/>
        </w:rPr>
        <w:t>或</w:t>
      </w:r>
      <w:r>
        <w:rPr>
          <w:rFonts w:hint="default" w:ascii="Century" w:hAnsi="Century" w:eastAsia="方正仿宋_GBK" w:cs="Century"/>
          <w:b w:val="0"/>
          <w:bCs/>
          <w:sz w:val="32"/>
          <w:szCs w:val="32"/>
        </w:rPr>
        <w:t>硕士研究生类进行评审。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增加作品自查环节，申报学校签订承诺书，承诺作品符合“挑战杯”竞赛申报作品的要求，接受竞赛组委会抽查。</w:t>
      </w:r>
      <w:r>
        <w:rPr>
          <w:rFonts w:hint="eastAsia" w:ascii="Century" w:hAnsi="Century" w:eastAsia="方正仿宋_GBK" w:cs="Century"/>
          <w:b w:val="0"/>
          <w:bCs/>
          <w:sz w:val="32"/>
          <w:szCs w:val="32"/>
          <w:lang w:val="en-US" w:eastAsia="zh-CN"/>
        </w:rPr>
        <w:t>对不符合申报要求或严重违规作品的惩戒措施详见第六章。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本校硕博连读生（直博生）若在决赛当年6月1日以前未通过博士资格考试的，</w:t>
      </w:r>
      <w:r>
        <w:rPr>
          <w:rFonts w:hint="eastAsia" w:ascii="Century" w:hAnsi="Century" w:eastAsia="方正仿宋_GBK" w:cs="Century"/>
          <w:b w:val="0"/>
          <w:bCs/>
          <w:sz w:val="32"/>
          <w:szCs w:val="32"/>
          <w:lang w:val="en-US" w:eastAsia="zh-CN"/>
        </w:rPr>
        <w:t>可以</w:t>
      </w:r>
      <w:r>
        <w:rPr>
          <w:rFonts w:hint="default" w:ascii="Century" w:hAnsi="Century" w:eastAsia="方正仿宋_GBK" w:cs="Century"/>
          <w:b w:val="0"/>
          <w:bCs/>
          <w:sz w:val="32"/>
          <w:szCs w:val="32"/>
        </w:rPr>
        <w:t>按硕士生学历申报作品</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没有实行资格考试制度的学校，前两年</w:t>
      </w:r>
      <w:r>
        <w:rPr>
          <w:rFonts w:hint="eastAsia" w:ascii="Century" w:hAnsi="Century" w:eastAsia="方正仿宋_GBK" w:cs="Century"/>
          <w:b w:val="0"/>
          <w:bCs/>
          <w:sz w:val="32"/>
          <w:szCs w:val="32"/>
          <w:lang w:val="en-US" w:eastAsia="zh-CN"/>
        </w:rPr>
        <w:t>按硕士</w:t>
      </w:r>
      <w:r>
        <w:rPr>
          <w:rFonts w:hint="default" w:ascii="Century" w:hAnsi="Century" w:eastAsia="方正仿宋_GBK" w:cs="Century"/>
          <w:b w:val="0"/>
          <w:bCs/>
          <w:sz w:val="32"/>
          <w:szCs w:val="32"/>
        </w:rPr>
        <w:t>学历申报作品。医学等本硕博连读生，按照四年、二年分别对应本、硕申报</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后续则不可申报。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毕业设计和课程设计（论文）、学年论文和学位论文、国际竞赛中获奖的作品、获国家级奖励成果（含本竞赛主办单位参与举办的其它全国性竞赛的获奖作品）等均不在申报范围之列。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第十八条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第十九条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参赛作品涉及下列内容时，必须由申报者提供有关部门的证明材料，否则不予评审。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动植物新品种的发现或培育，须有省级以上农科部门或科研院所开具证明。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对国家保护动植物的研究，须有省级以上林业部门开具证明，证明该项研究的过程中未产生对所研究的动植物繁衍、生长不利的影响。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新药物的研究须有卫生行政部门授权机构的鉴定证明。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医疗卫生研究须通过专家鉴定，并最好附有在公开发行的专业性杂志上发表过的文章。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涉及燃气用具等与人民生命财产安全有关用具的研究，须有国家相应行政部门授权机构的认定证明。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sz w:val="32"/>
          <w:szCs w:val="32"/>
          <w:lang w:val="en-US" w:eastAsia="zh-CN"/>
        </w:rPr>
        <w:t xml:space="preserve">第二十条  </w:t>
      </w:r>
      <w:r>
        <w:rPr>
          <w:rFonts w:hint="eastAsia" w:ascii="Century" w:hAnsi="Century" w:eastAsia="方正仿宋_GBK" w:cs="Century"/>
          <w:b w:val="0"/>
          <w:bCs/>
          <w:sz w:val="32"/>
          <w:szCs w:val="32"/>
          <w:lang w:val="en-US" w:eastAsia="zh-CN"/>
        </w:rPr>
        <w:t>参赛作品必须于申报前将作品项目名称、参赛学生和指导教师等关键信息在校内官方网站主页上进行不少于5天的公示，并将公示截图随作品一同报送。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一</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参赛作品必须由两名具有高级专业技术职称的指导教师（或教研组）推荐，经本校学籍管理、教务、科研管理部门审核确认。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二</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每个学校选送参加竞赛的作品总数不得超过6件，每人限报1件，作品中研究生的作品不得超过作品总数的1/2。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第四章</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展览、交流、转让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三</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四</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全国组委会将在竞赛的终审决赛阶段组织多种形式的学术交流和工作交流活动，并适时举办单项展示赛或邀请赛等丰富“挑战杯”竞赛的活动。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五</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全国组织委员会在终审决赛期间，举办成果转让活动；成果是否转让不作为作品评审获奖的依据。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六</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全国组织委员会拥有组织转让获奖作品的优先权。成果产权及利益分配由学校和作者协商确定。全国组织委员会可结集出版竞赛获奖作品及评委评语。</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第五章</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奖</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七</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参赛的自然科学类学术论文、哲学社会科学类社会调查报告和学术论文、科技发明制作三类作品各设特等奖、一等奖、二等奖、三等奖。各等次奖分别约占各类入围作品总数的3%、8%、24%和65%。本专科生、硕士研究生</w:t>
      </w:r>
      <w:r>
        <w:rPr>
          <w:rFonts w:hint="eastAsia" w:ascii="Century" w:hAnsi="Century" w:eastAsia="方正仿宋_GBK" w:cs="Century"/>
          <w:b w:val="0"/>
          <w:bCs/>
          <w:sz w:val="32"/>
          <w:szCs w:val="32"/>
          <w:lang w:val="en-US" w:eastAsia="zh-CN"/>
        </w:rPr>
        <w:t>两</w:t>
      </w:r>
      <w:r>
        <w:rPr>
          <w:rFonts w:hint="default" w:ascii="Century" w:hAnsi="Century" w:eastAsia="方正仿宋_GBK" w:cs="Century"/>
          <w:b w:val="0"/>
          <w:bCs/>
          <w:sz w:val="32"/>
          <w:szCs w:val="32"/>
        </w:rPr>
        <w:t>个学历层次作者的作品获奖数与其入围作品数成正比例。科技发明制作类中A类和B类作品分别按上述比例设奖。全国评审委员会对各省级组织协调委员会和发起高校报送的参赛作品进行预审，评出80%左右的参赛作品入围获奖作品，评出入围作品中的</w:t>
      </w:r>
      <w:r>
        <w:rPr>
          <w:rFonts w:hint="eastAsia" w:ascii="Century" w:hAnsi="Century" w:eastAsia="方正仿宋_GBK" w:cs="Century"/>
          <w:b w:val="0"/>
          <w:bCs/>
          <w:sz w:val="32"/>
          <w:szCs w:val="32"/>
          <w:lang w:val="en-US" w:eastAsia="zh-CN"/>
        </w:rPr>
        <w:t>65</w:t>
      </w:r>
      <w:r>
        <w:rPr>
          <w:rFonts w:hint="default" w:ascii="Century" w:hAnsi="Century" w:eastAsia="方正仿宋_GBK" w:cs="Century"/>
          <w:b w:val="0"/>
          <w:bCs/>
          <w:sz w:val="32"/>
          <w:szCs w:val="32"/>
        </w:rPr>
        <w:t>%获得三等奖，其余</w:t>
      </w:r>
      <w:r>
        <w:rPr>
          <w:rFonts w:hint="eastAsia" w:ascii="Century" w:hAnsi="Century" w:eastAsia="方正仿宋_GBK" w:cs="Century"/>
          <w:b w:val="0"/>
          <w:bCs/>
          <w:sz w:val="32"/>
          <w:szCs w:val="32"/>
          <w:lang w:val="en-US" w:eastAsia="zh-CN"/>
        </w:rPr>
        <w:t>35</w:t>
      </w:r>
      <w:r>
        <w:rPr>
          <w:rFonts w:hint="default" w:ascii="Century" w:hAnsi="Century" w:eastAsia="方正仿宋_GBK" w:cs="Century"/>
          <w:b w:val="0"/>
          <w:bCs/>
          <w:sz w:val="32"/>
          <w:szCs w:val="32"/>
        </w:rPr>
        <w:t>%进入终审决赛。在终审决赛中评出特等奖、一等奖、二等奖</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八</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入围获奖的作品，确认资格有效的，由全国组织委员会向作品颁发证书（证书须体现作者和指导老师姓名）。参加各省（自治区、直辖市）预赛的作品，确认资格有效而又未进入全国竞赛的，由各省（自治区、直辖市）组织协调委员会向作品颁发证书（证书须体现作者和指导老师姓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九</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竞赛以学校为单位计算参赛得分，团体总分按名次排列，按位次公布。</w:t>
      </w:r>
      <w:r>
        <w:rPr>
          <w:rFonts w:hint="eastAsia" w:ascii="Century" w:hAnsi="Century" w:eastAsia="方正仿宋_GBK" w:cs="Century"/>
          <w:b w:val="0"/>
          <w:bCs/>
          <w:sz w:val="32"/>
          <w:szCs w:val="32"/>
          <w:lang w:val="en-US" w:eastAsia="zh-CN"/>
        </w:rPr>
        <w:t>团体总分由“现场作品得分”和“校级赛事组织得分”两部分组成。</w:t>
      </w:r>
      <w:r>
        <w:rPr>
          <w:rFonts w:hint="default" w:ascii="Century" w:hAnsi="Century" w:eastAsia="方正仿宋_GBK" w:cs="Century"/>
          <w:b w:val="0"/>
          <w:bCs/>
          <w:sz w:val="32"/>
          <w:szCs w:val="32"/>
        </w:rPr>
        <w:t>最高荣誉“挑战杯”为流动杯，授予竞赛团体成绩最佳的学校，如遇团体总分并列第一，以获特等奖的数量排序，以此类推至三等奖。设“优胜杯”若干，分别授予除“挑战杯”获得高校之外团体总分前</w:t>
      </w:r>
      <w:r>
        <w:rPr>
          <w:rFonts w:hint="eastAsia" w:ascii="Century" w:hAnsi="Century" w:eastAsia="方正仿宋_GBK" w:cs="Century"/>
          <w:b w:val="0"/>
          <w:bCs/>
          <w:sz w:val="32"/>
          <w:szCs w:val="32"/>
          <w:lang w:val="en-US" w:eastAsia="zh-CN"/>
        </w:rPr>
        <w:t>三</w:t>
      </w:r>
      <w:r>
        <w:rPr>
          <w:rFonts w:hint="default" w:ascii="Century" w:hAnsi="Century" w:eastAsia="方正仿宋_GBK" w:cs="Century"/>
          <w:b w:val="0"/>
          <w:bCs/>
          <w:sz w:val="32"/>
          <w:szCs w:val="32"/>
        </w:rPr>
        <w:t>十一名的其余学校</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及位列本省份第一名的高校中、除去团体总分前三十一名高校后排名前十名的学校</w:t>
      </w:r>
      <w:r>
        <w:rPr>
          <w:rFonts w:hint="default" w:ascii="Century" w:hAnsi="Century" w:eastAsia="方正仿宋_GBK" w:cs="Century"/>
          <w:b w:val="0"/>
          <w:bCs/>
          <w:sz w:val="32"/>
          <w:szCs w:val="32"/>
        </w:rPr>
        <w:t>。累计3次获得“挑战杯”的学校，可永久保存复制的“挑战杯”一座。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三十</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各等次奖计分方法如下：特等奖作品每件计100分，一等奖作品每件计70分，二等奖作品每件计40分，三等奖作品每件计20分，上报至全国组委会但未通过预审的作品每件计10分。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第三十一条</w:t>
      </w:r>
      <w:r>
        <w:rPr>
          <w:rFonts w:hint="eastAsia" w:ascii="Century" w:hAnsi="Century" w:eastAsia="方正仿宋_GBK" w:cs="Century"/>
          <w:b w:val="0"/>
          <w:bCs/>
          <w:sz w:val="32"/>
          <w:szCs w:val="32"/>
          <w:lang w:val="en-US" w:eastAsia="zh-CN"/>
        </w:rPr>
        <w:t xml:space="preserve">  校级赛事组织得分采取加分制，主要考察出台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二</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竞赛设10个左右省级优秀组织奖和获得入围作品高校数30%左右的高校优秀组织奖，奖励在竞赛组织工作中表现突出的省份和高校。省级优秀组织奖由主办单位评定，报全国组织委员会确认</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主要考察联合教育、科技等部门举办省级赛事，省级赛事高参与率，省域内校级赛事举办情况，省域内赛事对学生的覆盖等情况。</w:t>
      </w:r>
      <w:r>
        <w:rPr>
          <w:rFonts w:hint="default" w:ascii="Century" w:hAnsi="Century" w:eastAsia="方正仿宋_GBK" w:cs="Century"/>
          <w:b w:val="0"/>
          <w:bCs/>
          <w:sz w:val="32"/>
          <w:szCs w:val="32"/>
        </w:rPr>
        <w:t>高校优秀组织奖由各省（自治区、直辖市）组织协调委员会提名，主办单位评定后报全国组织委员会确认</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评选标准依照《校级赛事组织得分实施细则》。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三</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为鼓励各高校对参赛项目进行持续支持与跟踪培育，推动竞赛由短期开展向日常活动的转变，提升竞赛育人功能，竞赛设立累进创新专项奖，奖给在过去2届全国竞赛中入围获奖且在后续有较大创新提升的作品。此外，在符合竞赛宗旨、具有良好导向作用前提下，可联合社会有关方面设立、评选专项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ntury" w:hAnsi="Century" w:eastAsia="方正大标宋简体" w:cs="Century"/>
          <w:b w:val="0"/>
          <w:bCs w:val="0"/>
          <w:sz w:val="32"/>
          <w:szCs w:val="32"/>
          <w:lang w:val="en-US" w:eastAsia="zh-CN"/>
        </w:rPr>
      </w:pPr>
      <w:r>
        <w:rPr>
          <w:rFonts w:hint="default" w:ascii="Century" w:hAnsi="Century" w:eastAsia="方正大标宋简体" w:cs="Century"/>
          <w:b w:val="0"/>
          <w:bCs w:val="0"/>
          <w:sz w:val="32"/>
          <w:szCs w:val="32"/>
        </w:rPr>
        <w:t>第六章</w:t>
      </w:r>
      <w:r>
        <w:rPr>
          <w:rFonts w:hint="eastAsia" w:ascii="Century" w:hAnsi="Century" w:eastAsia="方正大标宋简体" w:cs="Century"/>
          <w:b w:val="0"/>
          <w:bCs w:val="0"/>
          <w:sz w:val="32"/>
          <w:szCs w:val="32"/>
          <w:lang w:val="en-US" w:eastAsia="zh-CN"/>
        </w:rPr>
        <w:t xml:space="preserve">  惩  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ntury" w:hAnsi="Century" w:eastAsia="方正大标宋简体" w:cs="Century"/>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 xml:space="preserve">第三十四条  </w:t>
      </w:r>
      <w:r>
        <w:rPr>
          <w:rFonts w:hint="eastAsia" w:ascii="Century" w:hAnsi="Century" w:eastAsia="方正仿宋_GBK" w:cs="Century"/>
          <w:b w:val="0"/>
          <w:bCs/>
          <w:sz w:val="32"/>
          <w:szCs w:val="32"/>
          <w:lang w:val="en-US" w:eastAsia="zh-CN"/>
        </w:rPr>
        <w:t>参赛作品存在舞弊、抄袭、作家，将国家课题、教师科研成果包装成学生项目的，均视为严重违规行为。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黑体_GBK" w:cs="Century"/>
          <w:b w:val="0"/>
          <w:bCs w:val="0"/>
          <w:sz w:val="32"/>
          <w:szCs w:val="32"/>
          <w:lang w:val="en-US" w:eastAsia="zh-CN"/>
        </w:rPr>
      </w:pPr>
      <w:r>
        <w:rPr>
          <w:rFonts w:hint="eastAsia" w:ascii="Century" w:hAnsi="Century" w:eastAsia="方正黑体_GBK" w:cs="Century"/>
          <w:b w:val="0"/>
          <w:bCs w:val="0"/>
          <w:sz w:val="32"/>
          <w:szCs w:val="32"/>
          <w:lang w:val="en-US" w:eastAsia="zh-CN"/>
        </w:rPr>
        <w:t xml:space="preserve">第三十五条  </w:t>
      </w:r>
      <w:r>
        <w:rPr>
          <w:rFonts w:hint="eastAsia" w:ascii="Century" w:hAnsi="Century" w:eastAsia="方正仿宋_GBK" w:cs="Century"/>
          <w:b w:val="0"/>
          <w:bCs/>
          <w:sz w:val="32"/>
          <w:szCs w:val="32"/>
          <w:lang w:val="en-US" w:eastAsia="zh-CN"/>
        </w:rPr>
        <w:t>参赛作品在公示环节，知情公众如发现作品不符合申报要求或存在严重违规行为，各高校要严肃对待、一经查实取消作品参赛资格。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 xml:space="preserve">第三十六条  </w:t>
      </w:r>
      <w:r>
        <w:rPr>
          <w:rFonts w:hint="eastAsia" w:ascii="Century" w:hAnsi="Century" w:eastAsia="方正仿宋_GBK" w:cs="Century"/>
          <w:b w:val="0"/>
          <w:bCs/>
          <w:sz w:val="32"/>
          <w:szCs w:val="32"/>
          <w:lang w:val="en-US" w:eastAsia="zh-CN"/>
        </w:rPr>
        <w:t>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优胜杯”及其他集体奖项的资格，视情节严重取消该学校下届联合发起单位资格或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七</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如确认作品存在严重违规行为，该学校团体总分为零，并取消该学校参评“优胜杯”及其他集体奖项的资格，视情节严重取消该学校下届联合发起单位资格或参赛资格，并</w:t>
      </w:r>
      <w:r>
        <w:rPr>
          <w:rFonts w:hint="default" w:ascii="Century" w:hAnsi="Century" w:eastAsia="方正仿宋_GBK" w:cs="Century"/>
          <w:b w:val="0"/>
          <w:bCs/>
          <w:sz w:val="32"/>
          <w:szCs w:val="32"/>
          <w:lang w:val="en-US" w:eastAsia="zh-CN"/>
        </w:rPr>
        <w:t>通报</w:t>
      </w:r>
      <w:r>
        <w:rPr>
          <w:rFonts w:hint="default" w:ascii="Century" w:hAnsi="Century" w:eastAsia="方正仿宋_GBK" w:cs="Century"/>
          <w:b w:val="0"/>
          <w:bCs/>
          <w:sz w:val="32"/>
          <w:szCs w:val="32"/>
        </w:rPr>
        <w:t>全国组织委员会成员单位</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Century" w:hAnsi="Century" w:eastAsia="方正大标宋简体" w:cs="Century"/>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w:t>
      </w:r>
      <w:r>
        <w:rPr>
          <w:rFonts w:hint="eastAsia" w:ascii="Century" w:hAnsi="Century" w:eastAsia="方正大标宋简体" w:cs="Century"/>
          <w:b w:val="0"/>
          <w:bCs w:val="0"/>
          <w:sz w:val="32"/>
          <w:szCs w:val="32"/>
          <w:lang w:val="en-US" w:eastAsia="zh-CN"/>
        </w:rPr>
        <w:t>七</w:t>
      </w:r>
      <w:r>
        <w:rPr>
          <w:rFonts w:hint="default" w:ascii="Century" w:hAnsi="Century" w:eastAsia="方正大标宋简体" w:cs="Century"/>
          <w:b w:val="0"/>
          <w:bCs w:val="0"/>
          <w:sz w:val="32"/>
          <w:szCs w:val="32"/>
        </w:rPr>
        <w:t>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附</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八</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承办竞赛的高校应按当届组委会通过的申办办法，申请承办下一届竞赛活动；获得历届“挑战杯”和“优胜杯”的学校具有承办下届竞赛的优先权；当届组委会通过一定的民主程序产生下届承办单位。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第三十四</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条竞赛承办单位有权以全国组织委员会名义寻求赞助。最高荣誉“挑战杯”不得用于寻求赞助。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第三十五条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http://www.tiaozhanbei.net/为“挑战杯”竞赛专用网站，由主办单位和承办单位共同建设。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第三十六条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本章程自全国组织委员会审议通过之日起生效，由竞赛主办单位及全国组委会秘书处负责解释。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spacing w:line="520" w:lineRule="exact"/>
        <w:jc w:val="left"/>
        <w:rPr>
          <w:rFonts w:hint="default" w:ascii="Century" w:hAnsi="Century" w:eastAsia="方正黑体_GBK" w:cs="Century"/>
          <w:sz w:val="32"/>
          <w:szCs w:val="32"/>
        </w:rPr>
        <w:sectPr>
          <w:footerReference r:id="rId4" w:type="default"/>
          <w:pgSz w:w="11906" w:h="16838"/>
          <w:pgMar w:top="1440" w:right="1803" w:bottom="1440" w:left="1803" w:header="851" w:footer="992" w:gutter="0"/>
          <w:pgNumType w:fmt="numberInDash" w:start="1"/>
          <w:cols w:space="0" w:num="1"/>
          <w:rtlGutter w:val="0"/>
          <w:docGrid w:type="lines" w:linePitch="319" w:charSpace="0"/>
        </w:sectPr>
      </w:pPr>
    </w:p>
    <w:p>
      <w:pPr>
        <w:spacing w:line="520" w:lineRule="exact"/>
        <w:jc w:val="left"/>
        <w:rPr>
          <w:rFonts w:hint="default" w:ascii="Century" w:hAnsi="Century" w:eastAsia="方正黑体_GBK" w:cs="Century"/>
          <w:sz w:val="32"/>
          <w:szCs w:val="32"/>
          <w:lang w:val="en-US" w:eastAsia="zh-CN"/>
        </w:rPr>
      </w:pPr>
      <w:r>
        <w:rPr>
          <w:rFonts w:hint="default" w:ascii="Century" w:hAnsi="Century" w:eastAsia="方正黑体_GBK" w:cs="Century"/>
          <w:sz w:val="32"/>
          <w:szCs w:val="32"/>
        </w:rPr>
        <w:t>附件</w:t>
      </w:r>
      <w:r>
        <w:rPr>
          <w:rFonts w:hint="eastAsia" w:ascii="Century" w:hAnsi="Century" w:eastAsia="方正黑体_GBK" w:cs="Century"/>
          <w:sz w:val="32"/>
          <w:szCs w:val="32"/>
          <w:lang w:val="en-US" w:eastAsia="zh-CN"/>
        </w:rPr>
        <w:t>3</w:t>
      </w:r>
    </w:p>
    <w:p>
      <w:pPr>
        <w:spacing w:line="520" w:lineRule="exact"/>
        <w:jc w:val="left"/>
        <w:rPr>
          <w:rFonts w:hint="default" w:ascii="Century" w:hAnsi="Century" w:eastAsia="方正黑体_GBK" w:cs="Century"/>
          <w:sz w:val="32"/>
          <w:szCs w:val="32"/>
          <w:lang w:val="en-US" w:eastAsia="zh-CN"/>
        </w:rPr>
      </w:pPr>
    </w:p>
    <w:p>
      <w:pPr>
        <w:jc w:val="center"/>
        <w:rPr>
          <w:rFonts w:hint="default" w:ascii="Century" w:hAnsi="Century" w:eastAsia="方正小标宋_GBK" w:cs="Century"/>
          <w:sz w:val="36"/>
          <w:szCs w:val="36"/>
        </w:rPr>
      </w:pPr>
      <w:r>
        <w:rPr>
          <w:rFonts w:hint="default" w:ascii="Century" w:hAnsi="Century" w:eastAsia="方正小标宋_GBK" w:cs="Century"/>
          <w:sz w:val="36"/>
          <w:szCs w:val="36"/>
          <w:lang w:val="en-US" w:eastAsia="zh-CN"/>
        </w:rPr>
        <w:t>第十六届</w:t>
      </w:r>
      <w:r>
        <w:rPr>
          <w:rFonts w:hint="default" w:ascii="Century" w:hAnsi="Century" w:eastAsia="方正小标宋_GBK" w:cs="Century"/>
          <w:sz w:val="36"/>
          <w:szCs w:val="36"/>
          <w:lang w:eastAsia="zh-CN"/>
        </w:rPr>
        <w:t>“</w:t>
      </w:r>
      <w:r>
        <w:rPr>
          <w:rFonts w:hint="default" w:ascii="Century" w:hAnsi="Century" w:eastAsia="方正小标宋_GBK" w:cs="Century"/>
          <w:sz w:val="36"/>
          <w:szCs w:val="36"/>
          <w:lang w:val="en-US" w:eastAsia="zh-CN"/>
        </w:rPr>
        <w:t>挑战杯</w:t>
      </w:r>
      <w:r>
        <w:rPr>
          <w:rFonts w:hint="default" w:ascii="Century" w:hAnsi="Century" w:eastAsia="方正小标宋_GBK" w:cs="Century"/>
          <w:sz w:val="36"/>
          <w:szCs w:val="36"/>
          <w:lang w:eastAsia="zh-CN"/>
        </w:rPr>
        <w:t>”</w:t>
      </w:r>
      <w:r>
        <w:rPr>
          <w:rFonts w:hint="default" w:ascii="Century" w:hAnsi="Century" w:eastAsia="方正小标宋_GBK" w:cs="Century"/>
          <w:sz w:val="36"/>
          <w:szCs w:val="36"/>
        </w:rPr>
        <w:t>省赛作品数额分配方案</w:t>
      </w:r>
    </w:p>
    <w:p>
      <w:pPr>
        <w:jc w:val="center"/>
        <w:rPr>
          <w:rFonts w:hint="default" w:ascii="Century" w:hAnsi="Century" w:eastAsia="方正小标宋_GBK" w:cs="Century"/>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right="0" w:rightChars="0" w:firstLine="560" w:firstLineChars="200"/>
        <w:jc w:val="both"/>
        <w:textAlignment w:val="auto"/>
        <w:outlineLvl w:val="9"/>
        <w:rPr>
          <w:rFonts w:hint="default" w:ascii="Century" w:hAnsi="Century" w:eastAsia="方正黑体_GBK" w:cs="Century"/>
          <w:sz w:val="28"/>
          <w:szCs w:val="28"/>
        </w:rPr>
      </w:pPr>
      <w:r>
        <w:rPr>
          <w:rFonts w:hint="default" w:ascii="Century" w:hAnsi="Century" w:eastAsia="方正黑体_GBK" w:cs="Century"/>
          <w:sz w:val="28"/>
          <w:szCs w:val="28"/>
        </w:rPr>
        <w:t>一、本科高校名额分配</w:t>
      </w:r>
    </w:p>
    <w:tbl>
      <w:tblPr>
        <w:tblStyle w:val="5"/>
        <w:tblW w:w="861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18"/>
        <w:gridCol w:w="23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jc w:val="center"/>
              <w:rPr>
                <w:rFonts w:hint="default" w:ascii="Century" w:hAnsi="Century" w:eastAsia="方正仿宋_GBK" w:cs="Century"/>
                <w:sz w:val="28"/>
                <w:szCs w:val="28"/>
              </w:rPr>
            </w:pPr>
            <w:r>
              <w:rPr>
                <w:rFonts w:hint="default" w:ascii="Century" w:hAnsi="Century" w:eastAsia="方正黑体_GBK" w:cs="Century"/>
                <w:sz w:val="28"/>
                <w:szCs w:val="28"/>
              </w:rPr>
              <w:t>学校名称</w:t>
            </w:r>
          </w:p>
        </w:tc>
        <w:tc>
          <w:tcPr>
            <w:tcW w:w="2393" w:type="dxa"/>
            <w:shd w:val="clear" w:color="auto" w:fill="auto"/>
            <w:vAlign w:val="center"/>
          </w:tcPr>
          <w:p>
            <w:pPr>
              <w:widowControl/>
              <w:spacing w:line="400" w:lineRule="exact"/>
              <w:jc w:val="center"/>
              <w:rPr>
                <w:rFonts w:hint="default" w:ascii="Century" w:hAnsi="Century" w:eastAsia="方正仿宋_GBK" w:cs="Century"/>
                <w:sz w:val="28"/>
                <w:szCs w:val="28"/>
              </w:rPr>
            </w:pPr>
            <w:r>
              <w:rPr>
                <w:rFonts w:hint="default" w:ascii="Century" w:hAnsi="Century" w:eastAsia="方正黑体_GBK" w:cs="Century"/>
                <w:sz w:val="28"/>
                <w:szCs w:val="28"/>
              </w:rPr>
              <w:t>名额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南京市（2</w:t>
            </w:r>
            <w:r>
              <w:rPr>
                <w:rFonts w:hint="eastAsia" w:ascii="Century" w:hAnsi="Century" w:eastAsia="方正仿宋_GBK" w:cs="Century"/>
                <w:color w:val="000000"/>
                <w:kern w:val="0"/>
                <w:sz w:val="28"/>
                <w:szCs w:val="28"/>
                <w:lang w:val="en-US" w:eastAsia="zh-CN"/>
              </w:rPr>
              <w:t>6</w:t>
            </w:r>
            <w:r>
              <w:rPr>
                <w:rFonts w:hint="default" w:ascii="Century" w:hAnsi="Century" w:eastAsia="方正仿宋_GBK" w:cs="Century"/>
                <w:color w:val="000000"/>
                <w:kern w:val="0"/>
                <w:sz w:val="28"/>
                <w:szCs w:val="28"/>
              </w:rPr>
              <w:t>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东南大学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南京航空航天大学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南京理工大学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河海大学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000000"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南京农业大学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000000"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中国药科大学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南京森林警察学院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南京师范大学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南京医科大学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 xml:space="preserve">南京中医药大学 </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 xml:space="preserve">南京艺术学院 </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南京体育学院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江苏第二师范学院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南京工业大学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南京财经大学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000000"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shd w:val="clear"/>
              </w:rPr>
              <w:t>南京信息工程大学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南京邮电大学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000000"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 xml:space="preserve">南京林业大学 </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南京审计大学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南京工程学院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江苏警官学院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南京特殊教育师范学院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三江学院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南京晓庄学院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金陵科技学院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kern w:val="0"/>
                <w:sz w:val="28"/>
                <w:szCs w:val="28"/>
              </w:rPr>
            </w:pPr>
            <w:r>
              <w:rPr>
                <w:rFonts w:hint="default" w:ascii="Century" w:hAnsi="Century" w:eastAsia="方正仿宋_GBK" w:cs="Century"/>
                <w:color w:val="000000"/>
                <w:kern w:val="0"/>
                <w:sz w:val="28"/>
                <w:szCs w:val="28"/>
              </w:rPr>
              <w:t>无锡市（2所）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kern w:val="0"/>
                <w:sz w:val="28"/>
                <w:szCs w:val="28"/>
              </w:rPr>
            </w:pPr>
            <w:r>
              <w:rPr>
                <w:rFonts w:hint="default" w:ascii="Century" w:hAnsi="Century" w:eastAsia="方正仿宋_GBK" w:cs="Century"/>
                <w:kern w:val="0"/>
                <w:sz w:val="28"/>
                <w:szCs w:val="28"/>
              </w:rPr>
              <w:t>江南大学</w:t>
            </w:r>
          </w:p>
        </w:tc>
        <w:tc>
          <w:tcPr>
            <w:tcW w:w="2393" w:type="dxa"/>
            <w:shd w:val="clear" w:color="auto" w:fill="auto"/>
            <w:vAlign w:val="center"/>
          </w:tcPr>
          <w:p>
            <w:pPr>
              <w:widowControl/>
              <w:spacing w:line="400" w:lineRule="exact"/>
              <w:jc w:val="center"/>
              <w:rPr>
                <w:rFonts w:hint="default" w:ascii="Century" w:hAnsi="Century" w:eastAsia="方正仿宋_GBK" w:cs="Century"/>
                <w:kern w:val="0"/>
                <w:sz w:val="28"/>
                <w:szCs w:val="28"/>
                <w:lang w:val="en-US" w:eastAsia="zh-CN"/>
              </w:rPr>
            </w:pPr>
            <w:r>
              <w:rPr>
                <w:rFonts w:hint="default" w:ascii="Century" w:hAnsi="Century" w:eastAsia="方正仿宋_GBK" w:cs="Century"/>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kern w:val="0"/>
                <w:sz w:val="28"/>
                <w:szCs w:val="28"/>
              </w:rPr>
            </w:pPr>
            <w:r>
              <w:rPr>
                <w:rFonts w:hint="eastAsia" w:ascii="Century" w:hAnsi="Century" w:eastAsia="方正仿宋_GBK" w:cs="Century"/>
                <w:kern w:val="0"/>
                <w:sz w:val="28"/>
                <w:szCs w:val="28"/>
                <w:lang w:val="en-US" w:eastAsia="zh-CN"/>
              </w:rPr>
              <w:t>无锡</w:t>
            </w:r>
            <w:r>
              <w:rPr>
                <w:rFonts w:hint="default" w:ascii="Century" w:hAnsi="Century" w:eastAsia="方正仿宋_GBK" w:cs="Century"/>
                <w:kern w:val="0"/>
                <w:sz w:val="28"/>
                <w:szCs w:val="28"/>
              </w:rPr>
              <w:t>太湖学院</w:t>
            </w:r>
          </w:p>
        </w:tc>
        <w:tc>
          <w:tcPr>
            <w:tcW w:w="2393" w:type="dxa"/>
            <w:shd w:val="clear" w:color="auto" w:fill="auto"/>
            <w:vAlign w:val="center"/>
          </w:tcPr>
          <w:p>
            <w:pPr>
              <w:widowControl/>
              <w:spacing w:line="400" w:lineRule="exact"/>
              <w:jc w:val="center"/>
              <w:rPr>
                <w:rFonts w:hint="default" w:ascii="Century" w:hAnsi="Century" w:eastAsia="方正仿宋_GBK" w:cs="Century"/>
                <w:kern w:val="0"/>
                <w:sz w:val="28"/>
                <w:szCs w:val="28"/>
                <w:lang w:val="en-US" w:eastAsia="zh-CN"/>
              </w:rPr>
            </w:pPr>
            <w:r>
              <w:rPr>
                <w:rFonts w:hint="default" w:ascii="Century" w:hAnsi="Century" w:eastAsia="方正仿宋_GBK" w:cs="Century"/>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徐州市（4所）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 xml:space="preserve">中国矿业大学 </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江苏师范大学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徐州</w:t>
            </w:r>
            <w:r>
              <w:rPr>
                <w:rFonts w:hint="default" w:ascii="Century" w:hAnsi="Century" w:eastAsia="方正仿宋_GBK" w:cs="Century"/>
                <w:color w:val="000000"/>
                <w:kern w:val="0"/>
                <w:sz w:val="28"/>
                <w:szCs w:val="28"/>
                <w:lang w:val="en-US" w:eastAsia="zh-CN"/>
              </w:rPr>
              <w:t>医科大学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徐州工程学院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常州市（3所）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江苏理工学院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常州大学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 xml:space="preserve">常州工学院 </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苏州市（</w:t>
            </w:r>
            <w:r>
              <w:rPr>
                <w:rFonts w:hint="eastAsia" w:ascii="Century" w:hAnsi="Century" w:eastAsia="方正仿宋_GBK" w:cs="Century"/>
                <w:color w:val="000000"/>
                <w:kern w:val="0"/>
                <w:sz w:val="28"/>
                <w:szCs w:val="28"/>
                <w:lang w:val="en-US" w:eastAsia="zh-CN"/>
              </w:rPr>
              <w:t>5</w:t>
            </w:r>
            <w:r>
              <w:rPr>
                <w:rFonts w:hint="default" w:ascii="Century" w:hAnsi="Century" w:eastAsia="方正仿宋_GBK" w:cs="Century"/>
                <w:color w:val="000000"/>
                <w:kern w:val="0"/>
                <w:sz w:val="28"/>
                <w:szCs w:val="28"/>
              </w:rPr>
              <w:t>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苏州大学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苏州科技</w:t>
            </w:r>
            <w:r>
              <w:rPr>
                <w:rFonts w:hint="default" w:ascii="Century" w:hAnsi="Century" w:eastAsia="方正仿宋_GBK" w:cs="Century"/>
                <w:color w:val="000000"/>
                <w:kern w:val="0"/>
                <w:sz w:val="28"/>
                <w:szCs w:val="28"/>
                <w:lang w:val="en-US" w:eastAsia="zh-CN"/>
              </w:rPr>
              <w:t>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常熟理工学院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eastAsia" w:ascii="Century" w:hAnsi="Century" w:eastAsia="方正仿宋_GBK" w:cs="Century"/>
                <w:color w:val="000000"/>
                <w:kern w:val="0"/>
                <w:sz w:val="28"/>
                <w:szCs w:val="28"/>
                <w:lang w:val="en-US" w:eastAsia="zh-CN"/>
              </w:rPr>
            </w:pPr>
            <w:r>
              <w:rPr>
                <w:rFonts w:hint="eastAsia" w:ascii="Century" w:hAnsi="Century" w:eastAsia="方正仿宋_GBK" w:cs="Century"/>
                <w:color w:val="000000"/>
                <w:kern w:val="0"/>
                <w:sz w:val="28"/>
                <w:szCs w:val="28"/>
                <w:lang w:val="en-US" w:eastAsia="zh-CN"/>
              </w:rPr>
              <w:t>西交利物浦大学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eastAsia"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eastAsia" w:ascii="Century" w:hAnsi="Century" w:eastAsia="方正仿宋_GBK" w:cs="Century"/>
                <w:color w:val="000000"/>
                <w:kern w:val="0"/>
                <w:sz w:val="28"/>
                <w:szCs w:val="28"/>
                <w:lang w:val="en-US" w:eastAsia="zh-CN"/>
              </w:rPr>
            </w:pPr>
            <w:r>
              <w:rPr>
                <w:rFonts w:hint="eastAsia" w:ascii="Century" w:hAnsi="Century" w:eastAsia="方正仿宋_GBK" w:cs="Century"/>
                <w:color w:val="000000"/>
                <w:kern w:val="0"/>
                <w:sz w:val="28"/>
                <w:szCs w:val="28"/>
                <w:lang w:val="en-US" w:eastAsia="zh-CN"/>
              </w:rPr>
              <w:t>昆山杜克大学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eastAsia"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南通市（2所）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南通大学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南通理工学院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连云港市（1所）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淮海工学院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淮安市（2所）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淮阴师范学院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淮阴工学院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盐城市（2所）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0" w:hRule="atLeast"/>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盐城师范学院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盐城工学院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 xml:space="preserve">扬州市（1所）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扬州大学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镇江市（2所）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江苏大学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江苏科技大学</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泰州市（1所）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泰州学院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611" w:type="dxa"/>
            <w:gridSpan w:val="2"/>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宿迁（1所）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218" w:type="dxa"/>
            <w:shd w:val="clear" w:color="auto" w:fill="auto"/>
            <w:vAlign w:val="center"/>
          </w:tcPr>
          <w:p>
            <w:pPr>
              <w:widowControl/>
              <w:spacing w:line="400" w:lineRule="exact"/>
              <w:jc w:val="left"/>
              <w:rPr>
                <w:rFonts w:hint="default" w:ascii="Century" w:hAnsi="Century" w:eastAsia="方正仿宋_GBK" w:cs="Century"/>
                <w:color w:val="000000"/>
                <w:kern w:val="0"/>
                <w:sz w:val="28"/>
                <w:szCs w:val="28"/>
              </w:rPr>
            </w:pPr>
            <w:r>
              <w:rPr>
                <w:rFonts w:hint="default" w:ascii="Century" w:hAnsi="Century" w:eastAsia="方正仿宋_GBK" w:cs="Century"/>
                <w:color w:val="000000"/>
                <w:kern w:val="0"/>
                <w:sz w:val="28"/>
                <w:szCs w:val="28"/>
              </w:rPr>
              <w:t>宿迁学院</w:t>
            </w:r>
          </w:p>
        </w:tc>
        <w:tc>
          <w:tcPr>
            <w:tcW w:w="2393" w:type="dxa"/>
            <w:shd w:val="clear" w:color="auto" w:fill="auto"/>
            <w:vAlign w:val="center"/>
          </w:tcPr>
          <w:p>
            <w:pPr>
              <w:widowControl/>
              <w:spacing w:line="400" w:lineRule="exact"/>
              <w:jc w:val="center"/>
              <w:rPr>
                <w:rFonts w:hint="default" w:ascii="Century" w:hAnsi="Century" w:eastAsia="方正仿宋_GBK" w:cs="Century"/>
                <w:color w:val="000000"/>
                <w:kern w:val="0"/>
                <w:sz w:val="28"/>
                <w:szCs w:val="28"/>
                <w:lang w:val="en-US" w:eastAsia="zh-CN"/>
              </w:rPr>
            </w:pPr>
            <w:r>
              <w:rPr>
                <w:rFonts w:hint="default" w:ascii="Century" w:hAnsi="Century" w:eastAsia="方正仿宋_GBK" w:cs="Century"/>
                <w:color w:val="000000"/>
                <w:kern w:val="0"/>
                <w:sz w:val="28"/>
                <w:szCs w:val="28"/>
                <w:lang w:val="en-US" w:eastAsia="zh-CN"/>
              </w:rPr>
              <w:t>6</w:t>
            </w:r>
          </w:p>
        </w:tc>
      </w:tr>
    </w:tbl>
    <w:p>
      <w:pPr>
        <w:ind w:firstLine="420" w:firstLineChars="0"/>
        <w:rPr>
          <w:rFonts w:hint="default" w:ascii="Century" w:hAnsi="Century" w:eastAsia="方正楷体_GBK" w:cs="Century"/>
          <w:lang w:val="en-US" w:eastAsia="zh-CN"/>
        </w:rPr>
      </w:pPr>
    </w:p>
    <w:p>
      <w:pPr>
        <w:ind w:firstLine="640" w:firstLineChars="200"/>
        <w:rPr>
          <w:rFonts w:hint="default" w:ascii="Century" w:hAnsi="Century" w:eastAsia="方正楷体_GBK" w:cs="Century"/>
          <w:sz w:val="32"/>
          <w:szCs w:val="32"/>
        </w:rPr>
      </w:pPr>
      <w:r>
        <w:rPr>
          <w:rFonts w:hint="default" w:ascii="Century" w:hAnsi="Century" w:eastAsia="方正黑体_GBK" w:cs="Century"/>
          <w:sz w:val="32"/>
          <w:szCs w:val="32"/>
        </w:rPr>
        <w:t>二、高职院校名额分配</w:t>
      </w:r>
    </w:p>
    <w:p>
      <w:pPr>
        <w:spacing w:line="520" w:lineRule="exact"/>
        <w:ind w:firstLine="570"/>
        <w:rPr>
          <w:rFonts w:hint="default" w:ascii="Century" w:hAnsi="Century" w:eastAsia="方正仿宋_GBK" w:cs="Century"/>
          <w:color w:val="000000"/>
          <w:kern w:val="0"/>
          <w:sz w:val="32"/>
          <w:szCs w:val="32"/>
          <w:lang w:eastAsia="zh-CN"/>
        </w:rPr>
      </w:pPr>
      <w:r>
        <w:rPr>
          <w:rFonts w:hint="eastAsia" w:ascii="Century" w:hAnsi="Century" w:eastAsia="方正仿宋_GBK" w:cs="Century"/>
          <w:color w:val="000000"/>
          <w:kern w:val="0"/>
          <w:sz w:val="32"/>
          <w:szCs w:val="32"/>
          <w:lang w:val="en-US" w:eastAsia="zh-CN"/>
        </w:rPr>
        <w:t>入围国赛的高职院校可推报5件，其余</w:t>
      </w:r>
      <w:r>
        <w:rPr>
          <w:rFonts w:hint="default" w:ascii="Century" w:hAnsi="Century" w:eastAsia="方正仿宋_GBK" w:cs="Century"/>
          <w:color w:val="000000"/>
          <w:kern w:val="0"/>
          <w:sz w:val="32"/>
          <w:szCs w:val="32"/>
        </w:rPr>
        <w:t>高职院校每所推报名额为</w:t>
      </w:r>
      <w:r>
        <w:rPr>
          <w:rFonts w:hint="default" w:ascii="Century" w:hAnsi="Century" w:eastAsia="方正仿宋_GBK" w:cs="Century"/>
          <w:color w:val="000000"/>
          <w:kern w:val="0"/>
          <w:sz w:val="32"/>
          <w:szCs w:val="32"/>
          <w:lang w:val="en-US" w:eastAsia="zh-CN"/>
        </w:rPr>
        <w:t>4</w:t>
      </w:r>
      <w:r>
        <w:rPr>
          <w:rFonts w:hint="default" w:ascii="Century" w:hAnsi="Century" w:eastAsia="方正仿宋_GBK" w:cs="Century"/>
          <w:color w:val="000000"/>
          <w:kern w:val="0"/>
          <w:sz w:val="32"/>
          <w:szCs w:val="32"/>
        </w:rPr>
        <w:t>件</w:t>
      </w:r>
      <w:r>
        <w:rPr>
          <w:rFonts w:hint="default" w:ascii="Century" w:hAnsi="Century" w:eastAsia="方正仿宋_GBK" w:cs="Century"/>
          <w:color w:val="000000"/>
          <w:kern w:val="0"/>
          <w:sz w:val="32"/>
          <w:szCs w:val="32"/>
          <w:lang w:eastAsia="zh-CN"/>
        </w:rPr>
        <w:t>。</w:t>
      </w:r>
    </w:p>
    <w:p>
      <w:pPr>
        <w:rPr>
          <w:rFonts w:hint="default" w:ascii="Century" w:hAnsi="Century" w:eastAsia="方正仿宋_GBK" w:cs="Century"/>
          <w:color w:val="000000"/>
          <w:kern w:val="0"/>
          <w:sz w:val="32"/>
          <w:szCs w:val="32"/>
          <w:lang w:eastAsia="zh-CN"/>
        </w:rPr>
      </w:pPr>
    </w:p>
    <w:p>
      <w:pPr>
        <w:ind w:firstLine="640" w:firstLineChars="200"/>
        <w:rPr>
          <w:rFonts w:hint="default" w:ascii="Century" w:hAnsi="Century" w:eastAsia="方正黑体_GBK" w:cs="Century"/>
          <w:sz w:val="32"/>
          <w:szCs w:val="32"/>
        </w:rPr>
      </w:pPr>
      <w:r>
        <w:rPr>
          <w:rFonts w:hint="default" w:ascii="Century" w:hAnsi="Century" w:eastAsia="方正黑体_GBK" w:cs="Century"/>
          <w:sz w:val="32"/>
          <w:szCs w:val="32"/>
        </w:rPr>
        <w:t>三、高校独立学院</w:t>
      </w:r>
    </w:p>
    <w:p>
      <w:pPr>
        <w:spacing w:line="520" w:lineRule="exact"/>
        <w:ind w:firstLine="570"/>
        <w:rPr>
          <w:rFonts w:hint="default" w:ascii="Century" w:hAnsi="Century" w:eastAsia="方正仿宋_GBK" w:cs="Century"/>
          <w:color w:val="000000"/>
          <w:kern w:val="0"/>
          <w:sz w:val="32"/>
          <w:szCs w:val="32"/>
        </w:rPr>
      </w:pPr>
      <w:r>
        <w:rPr>
          <w:rFonts w:hint="default" w:ascii="Century" w:hAnsi="Century" w:eastAsia="方正仿宋_GBK" w:cs="Century"/>
          <w:color w:val="000000"/>
          <w:kern w:val="0"/>
          <w:sz w:val="32"/>
          <w:szCs w:val="32"/>
        </w:rPr>
        <w:t>独立学院每所推报名额为2件。</w:t>
      </w:r>
    </w:p>
    <w:p>
      <w:pPr>
        <w:spacing w:line="520" w:lineRule="exact"/>
        <w:rPr>
          <w:rFonts w:hint="default" w:ascii="Century" w:hAnsi="Century" w:eastAsia="方正黑体_GBK" w:cs="Century"/>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Century" w:hAnsi="Century" w:eastAsia="方正黑体_GBK" w:cs="Century"/>
          <w:sz w:val="32"/>
          <w:szCs w:val="32"/>
          <w:lang w:val="en-US" w:eastAsia="zh-CN"/>
        </w:rPr>
        <w:sectPr>
          <w:footerReference r:id="rId5" w:type="default"/>
          <w:pgSz w:w="11906" w:h="16838"/>
          <w:pgMar w:top="1440" w:right="1803" w:bottom="1440" w:left="1803"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Century" w:hAnsi="Century" w:eastAsia="方正黑体_GBK" w:cs="Century"/>
          <w:sz w:val="32"/>
          <w:szCs w:val="32"/>
          <w:lang w:val="en-US" w:eastAsia="zh-CN"/>
        </w:rPr>
      </w:pPr>
      <w:r>
        <w:rPr>
          <w:rFonts w:hint="default" w:ascii="Century" w:hAnsi="Century" w:eastAsia="方正黑体_GBK" w:cs="Century"/>
          <w:sz w:val="32"/>
          <w:szCs w:val="32"/>
          <w:lang w:val="en-US" w:eastAsia="zh-CN"/>
        </w:rPr>
        <w:t>附件</w:t>
      </w:r>
      <w:r>
        <w:rPr>
          <w:rFonts w:hint="eastAsia" w:ascii="Century" w:hAnsi="Century" w:eastAsia="方正黑体_GBK" w:cs="Century"/>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Century" w:hAnsi="Century" w:eastAsia="方正黑体_GBK" w:cs="Century"/>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小标宋_GBK" w:cs="Century"/>
          <w:sz w:val="32"/>
          <w:szCs w:val="32"/>
          <w:lang w:val="en-US" w:eastAsia="zh-CN"/>
        </w:rPr>
      </w:pPr>
      <w:r>
        <w:rPr>
          <w:rFonts w:hint="eastAsia" w:ascii="Century" w:hAnsi="Century" w:eastAsia="方正小标宋_GBK" w:cs="Century"/>
          <w:sz w:val="40"/>
          <w:szCs w:val="40"/>
          <w:lang w:val="en-US" w:eastAsia="zh-CN"/>
        </w:rPr>
        <w:t>校级赛事组织情况统计表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Century" w:hAnsi="Century" w:eastAsia="方正小标宋_GBK" w:cs="Century"/>
          <w:sz w:val="32"/>
          <w:szCs w:val="32"/>
          <w:lang w:val="en-US" w:eastAsia="zh-CN"/>
        </w:rPr>
      </w:pPr>
    </w:p>
    <w:tbl>
      <w:tblPr>
        <w:tblStyle w:val="6"/>
        <w:tblW w:w="9354" w:type="dxa"/>
        <w:jc w:val="center"/>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733"/>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1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学校</w:t>
            </w:r>
          </w:p>
        </w:tc>
        <w:tc>
          <w:tcPr>
            <w:tcW w:w="725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9354"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校领导参与情况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姓名</w:t>
            </w:r>
          </w:p>
        </w:tc>
        <w:tc>
          <w:tcPr>
            <w:tcW w:w="7254" w:type="dxa"/>
            <w:gridSpan w:val="2"/>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7254" w:type="dxa"/>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7254"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354"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评委邀请情况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姓名</w:t>
            </w:r>
          </w:p>
        </w:tc>
        <w:tc>
          <w:tcPr>
            <w:tcW w:w="3733"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单位</w:t>
            </w:r>
          </w:p>
        </w:tc>
        <w:tc>
          <w:tcPr>
            <w:tcW w:w="352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733"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52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733"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52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733"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52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733"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352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jc w:val="center"/>
        </w:trPr>
        <w:tc>
          <w:tcPr>
            <w:tcW w:w="21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校级赛事获奖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作品公示情况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（公示文件截图、照片等）</w:t>
            </w:r>
          </w:p>
        </w:tc>
        <w:tc>
          <w:tcPr>
            <w:tcW w:w="7254"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黑体_GBK" w:hAnsi="方正黑体_GBK" w:eastAsia="方正黑体_GBK" w:cs="方正黑体_GBK"/>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lang w:val="en-US" w:eastAsia="zh-CN"/>
        </w:rPr>
      </w:pPr>
    </w:p>
    <w:p>
      <w:pPr>
        <w:spacing w:line="520" w:lineRule="exact"/>
        <w:jc w:val="left"/>
        <w:rPr>
          <w:rFonts w:hint="default" w:ascii="Century" w:hAnsi="Century" w:eastAsia="方正黑体_GBK" w:cs="Century"/>
          <w:sz w:val="32"/>
          <w:szCs w:val="32"/>
        </w:rPr>
        <w:sectPr>
          <w:footerReference r:id="rId6" w:type="default"/>
          <w:pgSz w:w="11906" w:h="16838"/>
          <w:pgMar w:top="1440" w:right="1803" w:bottom="1440" w:left="1803" w:header="851" w:footer="992" w:gutter="0"/>
          <w:pgNumType w:fmt="numberInDash" w:start="1"/>
          <w:cols w:space="0" w:num="1"/>
          <w:rtlGutter w:val="0"/>
          <w:docGrid w:type="lines" w:linePitch="319" w:charSpace="0"/>
        </w:sectPr>
      </w:pPr>
    </w:p>
    <w:p>
      <w:pPr>
        <w:spacing w:line="520" w:lineRule="exact"/>
        <w:jc w:val="left"/>
        <w:rPr>
          <w:rFonts w:hint="eastAsia" w:ascii="Century" w:hAnsi="Century" w:eastAsia="方正黑体_GBK" w:cs="Century"/>
          <w:sz w:val="32"/>
          <w:szCs w:val="32"/>
          <w:lang w:val="en-US" w:eastAsia="zh-CN"/>
        </w:rPr>
      </w:pPr>
      <w:r>
        <w:rPr>
          <w:rFonts w:hint="default" w:ascii="Century" w:hAnsi="Century" w:eastAsia="方正黑体_GBK" w:cs="Century"/>
          <w:sz w:val="32"/>
          <w:szCs w:val="32"/>
        </w:rPr>
        <w:t>附件</w:t>
      </w:r>
      <w:r>
        <w:rPr>
          <w:rFonts w:hint="eastAsia" w:ascii="Century" w:hAnsi="Century" w:eastAsia="方正黑体_GBK" w:cs="Century"/>
          <w:sz w:val="32"/>
          <w:szCs w:val="32"/>
          <w:lang w:val="en-US" w:eastAsia="zh-CN"/>
        </w:rPr>
        <w:t>5</w:t>
      </w:r>
    </w:p>
    <w:p>
      <w:pPr>
        <w:spacing w:line="520" w:lineRule="exact"/>
        <w:jc w:val="left"/>
        <w:rPr>
          <w:rFonts w:hint="default" w:ascii="Century" w:hAnsi="Century" w:eastAsia="方正黑体_GBK" w:cs="Century"/>
          <w:sz w:val="32"/>
          <w:szCs w:val="32"/>
          <w:lang w:val="en-US" w:eastAsia="zh-CN"/>
        </w:rPr>
      </w:pPr>
    </w:p>
    <w:p>
      <w:pPr>
        <w:spacing w:after="0" w:line="540" w:lineRule="atLeast"/>
        <w:jc w:val="center"/>
        <w:rPr>
          <w:rFonts w:hint="default" w:ascii="Century" w:hAnsi="Century" w:eastAsia="方正大标宋_GBK" w:cs="Century"/>
          <w:sz w:val="44"/>
          <w:szCs w:val="24"/>
        </w:rPr>
      </w:pPr>
      <w:r>
        <w:rPr>
          <w:rFonts w:hint="eastAsia" w:ascii="Century" w:hAnsi="Century" w:eastAsia="方正大标宋_GBK" w:cs="Century"/>
          <w:sz w:val="44"/>
          <w:szCs w:val="24"/>
          <w:lang w:val="en-US" w:eastAsia="zh-CN"/>
        </w:rPr>
        <w:t>评审规则</w:t>
      </w:r>
    </w:p>
    <w:p>
      <w:pPr>
        <w:spacing w:after="0" w:line="540" w:lineRule="atLeast"/>
        <w:rPr>
          <w:rFonts w:hint="default" w:ascii="Century" w:hAnsi="Century" w:eastAsia="方正楷体简体" w:cs="Century"/>
          <w:b/>
          <w:bCs/>
          <w:sz w:val="32"/>
          <w:szCs w:val="32"/>
        </w:rPr>
      </w:pPr>
      <w:r>
        <w:rPr>
          <w:rFonts w:hint="default" w:ascii="Century" w:hAnsi="Century" w:eastAsia="方正楷体_GBK" w:cs="Century"/>
          <w:b w:val="0"/>
          <w:bCs w:val="0"/>
          <w:sz w:val="32"/>
          <w:szCs w:val="32"/>
        </w:rPr>
        <w:t>（经第十</w:t>
      </w:r>
      <w:r>
        <w:rPr>
          <w:rFonts w:hint="default" w:ascii="Century" w:hAnsi="Century" w:eastAsia="方正楷体_GBK" w:cs="Century"/>
          <w:b w:val="0"/>
          <w:bCs w:val="0"/>
          <w:sz w:val="32"/>
          <w:szCs w:val="32"/>
          <w:lang w:val="en-US" w:eastAsia="zh-CN"/>
        </w:rPr>
        <w:t>六</w:t>
      </w:r>
      <w:r>
        <w:rPr>
          <w:rFonts w:hint="default" w:ascii="Century" w:hAnsi="Century" w:eastAsia="方正楷体_GBK" w:cs="Century"/>
          <w:b w:val="0"/>
          <w:bCs w:val="0"/>
          <w:sz w:val="32"/>
          <w:szCs w:val="32"/>
        </w:rPr>
        <w:t>届“挑战杯”竞赛组委会第一次全体会议通过）</w:t>
      </w:r>
    </w:p>
    <w:p>
      <w:pPr>
        <w:spacing w:after="0" w:line="540" w:lineRule="atLeast"/>
        <w:rPr>
          <w:rFonts w:hint="default" w:ascii="Century" w:hAnsi="Century" w:eastAsia="方正仿宋_GBK" w:cs="Century"/>
          <w:b w:val="0"/>
          <w:bCs w:val="0"/>
          <w:sz w:val="24"/>
          <w:szCs w:val="24"/>
        </w:rPr>
      </w:pPr>
    </w:p>
    <w:p>
      <w:pPr>
        <w:spacing w:line="520" w:lineRule="exact"/>
        <w:jc w:val="center"/>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第一章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总</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spacing w:line="520" w:lineRule="exact"/>
        <w:jc w:val="center"/>
        <w:rPr>
          <w:rFonts w:hint="default" w:ascii="Century" w:hAnsi="Century" w:eastAsia="方正大标宋简体" w:cs="Century"/>
          <w:b w:val="0"/>
          <w:bCs w:val="0"/>
          <w:sz w:val="32"/>
          <w:szCs w:val="32"/>
        </w:rPr>
      </w:pPr>
    </w:p>
    <w:p>
      <w:pPr>
        <w:spacing w:line="520" w:lineRule="exact"/>
        <w:ind w:firstLine="640" w:firstLineChars="200"/>
        <w:rPr>
          <w:rFonts w:hint="eastAsia" w:ascii="Century" w:hAnsi="Century" w:eastAsia="方正黑体_GBK" w:cs="Century"/>
          <w:b w:val="0"/>
          <w:bCs/>
          <w:sz w:val="32"/>
          <w:szCs w:val="32"/>
          <w:lang w:val="en-US" w:eastAsia="zh-CN"/>
        </w:rPr>
      </w:pPr>
      <w:r>
        <w:rPr>
          <w:rFonts w:hint="default" w:ascii="Century" w:hAnsi="Century" w:eastAsia="方正黑体_GBK" w:cs="Century"/>
          <w:b w:val="0"/>
          <w:bCs/>
          <w:sz w:val="32"/>
          <w:szCs w:val="32"/>
        </w:rPr>
        <w:t>一</w:t>
      </w:r>
      <w:r>
        <w:rPr>
          <w:rFonts w:hint="eastAsia" w:ascii="Century" w:hAnsi="Century" w:eastAsia="方正黑体_GBK" w:cs="Century"/>
          <w:b w:val="0"/>
          <w:bCs/>
          <w:sz w:val="32"/>
          <w:szCs w:val="32"/>
          <w:lang w:eastAsia="zh-CN"/>
        </w:rPr>
        <w:t>、</w:t>
      </w:r>
      <w:r>
        <w:rPr>
          <w:rFonts w:hint="eastAsia" w:ascii="Century" w:hAnsi="Century" w:eastAsia="方正黑体_GBK" w:cs="Century"/>
          <w:b w:val="0"/>
          <w:bCs/>
          <w:sz w:val="32"/>
          <w:szCs w:val="32"/>
          <w:lang w:val="en-US" w:eastAsia="zh-CN"/>
        </w:rPr>
        <w:t>本规则依据《“挑战杯”全国大学生课外学术科技作品竞赛章程》指定，全国评审委员会依据本规则制定评审实施细则。</w:t>
      </w:r>
    </w:p>
    <w:p>
      <w:pPr>
        <w:spacing w:line="520" w:lineRule="exact"/>
        <w:ind w:firstLine="640" w:firstLineChars="200"/>
        <w:rPr>
          <w:rFonts w:ascii="Times New Roman" w:hAnsi="Times New Roman" w:eastAsia="方正黑体简体" w:cs="Times New Roman"/>
          <w:b w:val="0"/>
          <w:bCs w:val="0"/>
          <w:sz w:val="32"/>
          <w:szCs w:val="32"/>
        </w:rPr>
      </w:pPr>
      <w:r>
        <w:rPr>
          <w:rFonts w:hint="eastAsia" w:ascii="Century" w:hAnsi="Century" w:eastAsia="方正黑体_GBK" w:cs="Century"/>
          <w:b w:val="0"/>
          <w:bCs/>
          <w:sz w:val="32"/>
          <w:szCs w:val="32"/>
          <w:lang w:val="en-US" w:eastAsia="zh-CN"/>
        </w:rPr>
        <w:t>二、全国评审委员会的组成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1. 全国评审委员会由主办单位聘请非高校的具有高级职称的40名左右自然科学领域的专家或高科技企业的技术骨干和20名左右哲学社会科学领域的专家组成。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2. 全国评审委员会设主任一名，常务副主任二名，副主任若干名，秘书长一名。下设若干专业组，各组设组长一至二名。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3. 全国评审委员会下设由秘书长领导的秘书处，负责对参赛作品分类、统计、送阅和评审的组织服务工作。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4. 全国评审委员会成员名单（正、副主任、秘书长除外）在终审完毕之前实行保密，在终审结束后可以公布。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5. 全国评审委员会在向全国组织委员会报告终审结果后解散。</w:t>
      </w:r>
    </w:p>
    <w:p>
      <w:pPr>
        <w:spacing w:line="520" w:lineRule="exact"/>
        <w:ind w:firstLine="640" w:firstLineChars="200"/>
        <w:rPr>
          <w:rFonts w:hint="eastAsia" w:ascii="Century" w:hAnsi="Century" w:eastAsia="方正黑体_GBK" w:cs="Century"/>
          <w:b w:val="0"/>
          <w:bCs/>
          <w:sz w:val="32"/>
          <w:szCs w:val="32"/>
          <w:lang w:val="en-US" w:eastAsia="zh-CN"/>
        </w:rPr>
      </w:pPr>
      <w:r>
        <w:rPr>
          <w:rFonts w:hint="eastAsia" w:ascii="Century" w:hAnsi="Century" w:eastAsia="方正黑体_GBK" w:cs="Century"/>
          <w:b w:val="0"/>
          <w:bCs/>
          <w:sz w:val="32"/>
          <w:szCs w:val="32"/>
          <w:lang w:val="en-US" w:eastAsia="zh-CN"/>
        </w:rPr>
        <w:t>三、评审工作的基本原则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1. 参赛作品分自然科学类学术论文、哲学社会科学类社会调查报告和学术论文、科技发明制作三类。自然科学类学术论文的作者限本专科生。哲学社会科学类社会调查报告和学术论文限定在哲学、经济、社会、法律、教育、管理六个学科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2. 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3. 全国评审委员会的评审工作分预审、终审两阶段进行。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预审要评选出省级组织协调委员会和发起高校报送作品的80%左右的作品入围获奖作品；评出入围作品中的65%获得三等奖，其余35%进入终审决赛评出特等奖、一等奖、二等奖。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参赛的自然科学类学术论文、哲学社会科学类社会调查报告和学术论文、科技发明制作三类分别按照入围作品3%、8%、24%、65%的比例评出特等奖、一等奖、二等奖、三等奖。科技发明制作类A类和B类作品分别按上述比例设奖。各奖励等级之间的标准是相对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4. 评审注意本专科生、硕士研究生在学识水平和科研能力上的差异，两个学历层次作者的作品各等奖的获奖比例与其进入终审的比例基本一致。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5. 涉及需由有关部门出具证明材料的参赛作品，须按章程第三章第十九条的规定严格把关。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6. 评审实行回避制度和保密制度。评委不得参与本人亲属、学生或与其有直接利益关系的个人和单位有关作品评审工作。在评审结束之前，任何评委不得以任何方式对外宣布、泄露评审情况和结果。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7. 全国评审委员会的评审工作按《评审实施细则》规定执行。</w:t>
      </w:r>
    </w:p>
    <w:p>
      <w:pPr>
        <w:spacing w:line="520" w:lineRule="exact"/>
        <w:ind w:firstLine="640" w:firstLineChars="200"/>
        <w:rPr>
          <w:rFonts w:hint="eastAsia" w:ascii="Century" w:hAnsi="Century" w:eastAsia="方正黑体_GBK" w:cs="Century"/>
          <w:b w:val="0"/>
          <w:bCs/>
          <w:sz w:val="32"/>
          <w:szCs w:val="32"/>
          <w:lang w:val="en-US" w:eastAsia="zh-CN"/>
        </w:rPr>
      </w:pPr>
      <w:r>
        <w:rPr>
          <w:rFonts w:hint="eastAsia" w:ascii="Century" w:hAnsi="Century" w:eastAsia="方正黑体_GBK" w:cs="Century"/>
          <w:b w:val="0"/>
          <w:bCs/>
          <w:sz w:val="32"/>
          <w:szCs w:val="32"/>
          <w:lang w:val="en-US" w:eastAsia="zh-CN"/>
        </w:rPr>
        <w:t>四、评审程序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1. 各省（区、市）的组织协调委员会要按照《“挑战杯”全国大学生课外学术科技作品竞赛资格及形式审查实施细则》的规定，对报送的作品进行严格的资格和形式审查，省（区、市）评审委员会对报送作品进行认真的初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2. 全国组织委员会秘书处对各省（区、市）组织协调委员会报送和发起高校直送的参赛作品进行资格及形式审查，不合格的作品取消参赛资格。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3. 自然科学类学术论文和科技发明制作类的作品在承办单位所在地进行预审，预审要提出是否进入终审和获奖等级初步意见，哲学社会科学类社会调查报告和学术论文在全国评审委员会负责哲学社会科学类作品评审工作的常务副主任的主持下先期进行评审，选出一定比例作品赴承办单位所在地进行展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4. 终审决赛期间，评委在组委会安排的专门时间集体到展厅审看发明制作类作品的实物。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5. 终审决赛一律实行公开答辩制。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6. 评委可以对所评审的作品的资格提出质疑，并提出质疑理由、证据或线索。受到评委质疑的作品，将提交竞赛作品资格评判委员会按程序评定其参赛资格。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仿宋_GBK" w:cs="Century"/>
          <w:b w:val="0"/>
          <w:bCs/>
          <w:sz w:val="32"/>
          <w:szCs w:val="32"/>
          <w:lang w:val="en-US" w:eastAsia="zh-CN"/>
        </w:rPr>
        <w:t>7. 评委会应于终审开始时在主任的主持下召开评委会全体会议，听取组委会对竞赛活动情况的通报。</w:t>
      </w:r>
    </w:p>
    <w:p>
      <w:pPr>
        <w:spacing w:line="520" w:lineRule="exact"/>
        <w:ind w:firstLine="640" w:firstLineChars="200"/>
        <w:rPr>
          <w:rFonts w:hint="eastAsia" w:ascii="Century" w:hAnsi="Century" w:eastAsia="方正黑体_GBK" w:cs="Century"/>
          <w:b w:val="0"/>
          <w:bCs/>
          <w:sz w:val="32"/>
          <w:szCs w:val="32"/>
          <w:lang w:val="en-US" w:eastAsia="zh-CN"/>
        </w:rPr>
      </w:pPr>
      <w:r>
        <w:rPr>
          <w:rFonts w:hint="eastAsia" w:ascii="Century" w:hAnsi="Century" w:eastAsia="方正黑体_GBK" w:cs="Century"/>
          <w:b w:val="0"/>
          <w:bCs/>
          <w:sz w:val="32"/>
          <w:szCs w:val="32"/>
          <w:lang w:val="en-US" w:eastAsia="zh-CN"/>
        </w:rPr>
        <w:t>五、各省（区、市）初评工作，由该省（区、市）评审委员会参照上述规则主持。</w:t>
      </w:r>
    </w:p>
    <w:p>
      <w:pPr>
        <w:spacing w:line="520" w:lineRule="exact"/>
        <w:ind w:firstLine="640" w:firstLineChars="200"/>
        <w:rPr>
          <w:rFonts w:hint="eastAsia" w:ascii="Century" w:hAnsi="Century" w:eastAsia="方正黑体_GBK" w:cs="Century"/>
          <w:b w:val="0"/>
          <w:bCs/>
          <w:sz w:val="32"/>
          <w:szCs w:val="32"/>
          <w:lang w:val="en-US" w:eastAsia="zh-CN"/>
        </w:rPr>
      </w:pPr>
      <w:r>
        <w:rPr>
          <w:rFonts w:hint="eastAsia" w:ascii="Century" w:hAnsi="Century" w:eastAsia="方正黑体_GBK" w:cs="Century"/>
          <w:b w:val="0"/>
          <w:bCs/>
          <w:sz w:val="32"/>
          <w:szCs w:val="32"/>
          <w:lang w:val="en-US" w:eastAsia="zh-CN"/>
        </w:rPr>
        <w:t>六、本规则由竞赛主办单位负责解释，并由主办单位根据全国组委会的意见修改。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Century" w:hAnsi="Century" w:eastAsia="方正黑体_GBK" w:cs="Century"/>
          <w:sz w:val="32"/>
          <w:szCs w:val="32"/>
          <w:lang w:val="en-US" w:eastAsia="zh-CN"/>
        </w:rPr>
        <w:sectPr>
          <w:footerReference r:id="rId7" w:type="default"/>
          <w:pgSz w:w="11906" w:h="16838"/>
          <w:pgMar w:top="1440" w:right="1803" w:bottom="1440" w:left="1803"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Century" w:hAnsi="Century" w:eastAsia="方正黑体_GBK" w:cs="Century"/>
          <w:sz w:val="32"/>
          <w:szCs w:val="32"/>
          <w:lang w:val="en-US" w:eastAsia="zh-CN"/>
        </w:rPr>
      </w:pPr>
      <w:r>
        <w:rPr>
          <w:rFonts w:hint="default" w:ascii="Century" w:hAnsi="Century" w:eastAsia="方正黑体_GBK" w:cs="Century"/>
          <w:sz w:val="32"/>
          <w:szCs w:val="32"/>
          <w:lang w:val="en-US" w:eastAsia="zh-CN"/>
        </w:rPr>
        <w:t>附件</w:t>
      </w:r>
      <w:r>
        <w:rPr>
          <w:rFonts w:hint="eastAsia" w:ascii="Century" w:hAnsi="Century" w:eastAsia="方正黑体_GBK" w:cs="Century"/>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Century" w:hAnsi="Century" w:eastAsia="方正黑体_GBK" w:cs="Century"/>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小标宋_GBK" w:cs="Century"/>
          <w:sz w:val="32"/>
          <w:szCs w:val="32"/>
          <w:lang w:val="en-US" w:eastAsia="zh-CN"/>
        </w:rPr>
      </w:pPr>
      <w:r>
        <w:rPr>
          <w:rFonts w:hint="eastAsia" w:ascii="Century" w:hAnsi="Century" w:eastAsia="方正小标宋_GBK" w:cs="Century"/>
          <w:sz w:val="40"/>
          <w:szCs w:val="40"/>
          <w:lang w:val="en-US" w:eastAsia="zh-CN"/>
        </w:rPr>
        <w:t>江苏高校学生创新成果展示会申报表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Century" w:hAnsi="Century" w:eastAsia="方正小标宋_GBK" w:cs="Century"/>
          <w:sz w:val="32"/>
          <w:szCs w:val="32"/>
          <w:lang w:val="en-US" w:eastAsia="zh-CN"/>
        </w:rPr>
      </w:pPr>
    </w:p>
    <w:tbl>
      <w:tblPr>
        <w:tblStyle w:val="6"/>
        <w:tblW w:w="9354" w:type="dxa"/>
        <w:jc w:val="center"/>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3267"/>
        <w:gridCol w:w="166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1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学校</w:t>
            </w:r>
          </w:p>
        </w:tc>
        <w:tc>
          <w:tcPr>
            <w:tcW w:w="326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项目负责人</w:t>
            </w:r>
          </w:p>
        </w:tc>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作品名称</w:t>
            </w:r>
          </w:p>
        </w:tc>
        <w:tc>
          <w:tcPr>
            <w:tcW w:w="326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联系方式</w:t>
            </w:r>
          </w:p>
        </w:tc>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2" w:hRule="atLeast"/>
          <w:jc w:val="center"/>
        </w:trPr>
        <w:tc>
          <w:tcPr>
            <w:tcW w:w="21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作品照片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（注明长宽高）</w:t>
            </w:r>
          </w:p>
        </w:tc>
        <w:tc>
          <w:tcPr>
            <w:tcW w:w="7188"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Century" w:hAnsi="Century" w:eastAsia="方正仿宋_GBK" w:cs="Century"/>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jc w:val="center"/>
        </w:trPr>
        <w:tc>
          <w:tcPr>
            <w:tcW w:w="21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获奖情况</w:t>
            </w:r>
          </w:p>
        </w:tc>
        <w:tc>
          <w:tcPr>
            <w:tcW w:w="7188"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Century" w:hAnsi="Century" w:eastAsia="方正仿宋_GBK" w:cs="Century"/>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0" w:hRule="atLeast"/>
          <w:jc w:val="center"/>
        </w:trPr>
        <w:tc>
          <w:tcPr>
            <w:tcW w:w="21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Century" w:hAnsi="Century" w:eastAsia="方正仿宋_GBK" w:cs="Century"/>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项目简介</w:t>
            </w:r>
          </w:p>
        </w:tc>
        <w:tc>
          <w:tcPr>
            <w:tcW w:w="7188"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Century" w:hAnsi="Century" w:eastAsia="方正仿宋_GBK" w:cs="Century"/>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lang w:val="en-US" w:eastAsia="zh-CN"/>
        </w:rPr>
      </w:pPr>
    </w:p>
    <w:p>
      <w:bookmarkStart w:id="0" w:name="_GoBack"/>
      <w:bookmarkEnd w:id="0"/>
    </w:p>
    <w:sectPr>
      <w:footerReference r:id="rId8" w:type="default"/>
      <w:pgSz w:w="11906" w:h="16838"/>
      <w:pgMar w:top="1440" w:right="1803" w:bottom="1440" w:left="1803"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embedRegular r:id="rId1" w:fontKey="{A0C7ADCF-D105-4E51-920E-ED7CCFF74AB4}"/>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embedRegular r:id="rId2" w:fontKey="{0CE39EE1-8F52-41E7-94EC-C160647B7C52}"/>
  </w:font>
  <w:font w:name="方正大标宋_GBK">
    <w:panose1 w:val="03000509000000000000"/>
    <w:charset w:val="86"/>
    <w:family w:val="script"/>
    <w:pitch w:val="default"/>
    <w:sig w:usb0="00000001" w:usb1="080E0000" w:usb2="00000000" w:usb3="00000000" w:csb0="00040000" w:csb1="00000000"/>
    <w:embedRegular r:id="rId3" w:fontKey="{1DD8AC2A-5ED2-4EA8-8679-749CDCE0195A}"/>
  </w:font>
  <w:font w:name="方正仿宋_GBK">
    <w:panose1 w:val="02000000000000000000"/>
    <w:charset w:val="86"/>
    <w:family w:val="script"/>
    <w:pitch w:val="default"/>
    <w:sig w:usb0="00000001" w:usb1="080E0000" w:usb2="00000000" w:usb3="00000000" w:csb0="00040000" w:csb1="00000000"/>
    <w:embedRegular r:id="rId4" w:fontKey="{24149CF4-3250-4890-B99D-D0615E9F869D}"/>
  </w:font>
  <w:font w:name="方正大标宋简体">
    <w:panose1 w:val="02010601030101010101"/>
    <w:charset w:val="86"/>
    <w:family w:val="auto"/>
    <w:pitch w:val="default"/>
    <w:sig w:usb0="00000001" w:usb1="080E0000" w:usb2="00000000" w:usb3="00000000" w:csb0="00040000" w:csb1="00000000"/>
    <w:embedRegular r:id="rId5" w:fontKey="{65684FF9-98E1-483A-B701-632E01D09660}"/>
  </w:font>
  <w:font w:name="方正黑体_GBK">
    <w:panose1 w:val="03000509000000000000"/>
    <w:charset w:val="86"/>
    <w:family w:val="script"/>
    <w:pitch w:val="default"/>
    <w:sig w:usb0="00000001" w:usb1="080E0000" w:usb2="00000000" w:usb3="00000000" w:csb0="00040000" w:csb1="00000000"/>
    <w:embedRegular r:id="rId6" w:fontKey="{3C3FA3E7-F5BA-4187-9DAA-275FE4CE3BA7}"/>
  </w:font>
  <w:font w:name="方正楷体_GBK">
    <w:panose1 w:val="03000509000000000000"/>
    <w:charset w:val="86"/>
    <w:family w:val="script"/>
    <w:pitch w:val="default"/>
    <w:sig w:usb0="00000001" w:usb1="080E0000" w:usb2="00000000" w:usb3="00000000" w:csb0="00040000" w:csb1="00000000"/>
    <w:embedRegular r:id="rId7" w:fontKey="{45A22A45-CE57-42EB-8CA8-B79F92586D38}"/>
  </w:font>
  <w:font w:name="方正小标宋_GBK">
    <w:panose1 w:val="03000509000000000000"/>
    <w:charset w:val="86"/>
    <w:family w:val="script"/>
    <w:pitch w:val="default"/>
    <w:sig w:usb0="00000001" w:usb1="080E0000" w:usb2="00000000" w:usb3="00000000" w:csb0="00040000" w:csb1="00000000"/>
    <w:embedRegular r:id="rId8" w:fontKey="{6DB48BFB-E699-4B00-A1EF-43BD6A8C5EF0}"/>
  </w:font>
  <w:font w:name="方正黑体简体">
    <w:altName w:val="微软雅黑"/>
    <w:panose1 w:val="02010601030101010101"/>
    <w:charset w:val="86"/>
    <w:family w:val="script"/>
    <w:pitch w:val="default"/>
    <w:sig w:usb0="00000000" w:usb1="00000000" w:usb2="00000010" w:usb3="00000000" w:csb0="00040000" w:csb1="00000000"/>
    <w:embedRegular r:id="rId9" w:fontKey="{D0FC1B33-3470-46E3-9CE3-17A59F73A1BB}"/>
  </w:font>
  <w:font w:name="方正仿宋简体">
    <w:altName w:val="微软雅黑"/>
    <w:panose1 w:val="02010601030101010101"/>
    <w:charset w:val="86"/>
    <w:family w:val="script"/>
    <w:pitch w:val="default"/>
    <w:sig w:usb0="00000000" w:usb1="00000000" w:usb2="00000010" w:usb3="00000000" w:csb0="00040000" w:csb1="00000000"/>
    <w:embedRegular r:id="rId10" w:fontKey="{7A31A214-C730-49B7-80FE-8F845A2AFE19}"/>
  </w:font>
  <w:font w:name="方正楷体简体">
    <w:panose1 w:val="02010601030101010101"/>
    <w:charset w:val="86"/>
    <w:family w:val="script"/>
    <w:pitch w:val="default"/>
    <w:sig w:usb0="00000001" w:usb1="080E0000" w:usb2="00000000" w:usb3="00000000" w:csb0="00040000" w:csb1="00000000"/>
    <w:embedRegular r:id="rId11" w:fontKey="{40658BF8-F40B-44C4-A7DF-D8B1B2C47322}"/>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叶根友刀锋黑草">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新舒体繁体">
    <w:panose1 w:val="03000509000000000000"/>
    <w:charset w:val="86"/>
    <w:family w:val="auto"/>
    <w:pitch w:val="default"/>
    <w:sig w:usb0="00000001" w:usb1="080E0000" w:usb2="00000000" w:usb3="00000000" w:csb0="00040000" w:csb1="00000000"/>
  </w:font>
  <w:font w:name="叶根友刀锋黑草-企业版">
    <w:panose1 w:val="02010601030101010101"/>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 w:name="方正喵呜体">
    <w:panose1 w:val="02010600010101010101"/>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方正书宋_GBK">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F7E09"/>
    <w:rsid w:val="6ABF7E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2019-03-29T04:30:00Z</dcterms:created>
  <dc:creator>NTKO</dc:creator>
  <cp:lastModifiedBy>NTKO</cp:lastModifiedBy>
  <dcterms:modified xsi:type="dcterms:W3CDTF">2019-03-29T04:31:25Z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